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00" w:before="1600"/>
      </w:pPr>
      <w:r>
        <w:rPr>
          <w:rFonts w:ascii="Arial" w:cs="Arial" w:eastAsia="Arial" w:hAnsi="Arial"/>
          <w:b/>
          <w:bCs/>
          <w:color w:val="B8801F"/>
          <w:spacing w:val="40"/>
          <w:sz w:val="18"/>
          <w:szCs w:val="18"/>
        </w:rPr>
        <w:t xml:space="preserve">INNOVATIVE GROUP  ·  INTERNAL MARKETING IP</w:t>
      </w:r>
    </w:p>
    <w:p>
      <w:pPr>
        <w:spacing w:after="120"/>
      </w:pPr>
      <w:r>
        <w:rPr>
          <w:rFonts w:ascii="Arial" w:cs="Arial" w:eastAsia="Arial" w:hAnsi="Arial"/>
          <w:b/>
          <w:bCs/>
          <w:color w:val="14181F"/>
          <w:sz w:val="66"/>
          <w:szCs w:val="66"/>
        </w:rPr>
        <w:t xml:space="preserve">The Demand Engine</w:t>
      </w:r>
    </w:p>
    <w:p>
      <w:pPr>
        <w:spacing w:after="340"/>
      </w:pPr>
      <w:r>
        <w:rPr>
          <w:rFonts w:ascii="Arial" w:cs="Arial" w:eastAsia="Arial" w:hAnsi="Arial"/>
          <w:b/>
          <w:bCs/>
          <w:color w:val="6B7280"/>
          <w:sz w:val="40"/>
          <w:szCs w:val="40"/>
        </w:rPr>
        <w:t xml:space="preserve">Working Templates</w:t>
      </w:r>
    </w:p>
    <w:p>
      <w:pPr>
        <w:pBdr>
          <w:top w:val="single" w:color="B8801F" w:sz="6" w:space="10"/>
        </w:pBdr>
        <w:spacing w:after="400"/>
      </w:pPr>
      <w:r>
        <w:rPr>
          <w:rFonts w:ascii="Arial" w:cs="Arial" w:eastAsia="Arial" w:hAnsi="Arial"/>
          <w:sz w:val="16"/>
          <w:szCs w:val="16"/>
        </w:rPr>
        <w:t xml:space="preserve"> </w:t>
      </w:r>
    </w:p>
    <w:p>
      <w:pPr>
        <w:spacing w:after="260" w:before="0" w:line="276"/>
      </w:pPr>
      <w:r>
        <w:rPr>
          <w:rFonts w:ascii="Arial" w:cs="Arial" w:eastAsia="Arial" w:hAnsi="Arial"/>
          <w:color w:val="6B7280"/>
          <w:sz w:val="23"/>
          <w:szCs w:val="23"/>
        </w:rPr>
        <w:t xml:space="preserve">Companion to the Demand Engine playbook. Five worksheets that take a segment from an unwritten claim to a running teaching session with a measured funnel behind it.</w:t>
      </w:r>
    </w:p>
    <w:p>
      <w:pPr>
        <w:spacing w:after="600" w:before="0" w:line="276"/>
      </w:pPr>
      <w:r>
        <w:rPr>
          <w:rFonts w:ascii="Arial" w:cs="Arial" w:eastAsia="Arial" w:hAnsi="Arial"/>
          <w:b/>
          <w:bCs/>
          <w:color w:val="B8801F"/>
          <w:sz w:val="22"/>
          <w:szCs w:val="22"/>
        </w:rPr>
        <w:t xml:space="preserve">Crowd  ·  Claim  ·  Room  ·  Ladder  ·  Receipts</w:t>
      </w:r>
    </w:p>
    <w:tbl>
      <w:tblPr>
        <w:tblW w:type="dxa" w:w="10080"/>
        <w:tblBorders>
          <w:top w:val="single" w:color="D8D5CE" w:sz="4"/>
          <w:left w:val="single" w:color="D8D5CE" w:sz="4"/>
          <w:bottom w:val="single" w:color="D8D5CE" w:sz="4"/>
          <w:right w:val="single" w:color="D8D5CE" w:sz="4"/>
          <w:insideH w:val="single" w:color="D8D5CE" w:sz="4"/>
          <w:insideV w:val="single" w:color="D8D5CE" w:sz="4"/>
        </w:tblBorders>
      </w:tblPr>
      <w:tblGrid>
        <w:gridCol w:w="2880"/>
        <w:gridCol w:w="7200"/>
      </w:tblGrid>
      <w:tr>
        <w:trPr>
          <w:tblHeader/>
        </w:trPr>
        <w:tc>
          <w:tcPr>
            <w:tcW w:type="dxa" w:w="2880"/>
            <w:shd w:fill="F7F5F1" w:color="auto" w:val="clear"/>
            <w:tcMar>
              <w:top w:type="dxa" w:w="100"/>
              <w:left w:type="dxa" w:w="130"/>
              <w:bottom w:type="dxa" w:w="100"/>
              <w:right w:type="dxa" w:w="130"/>
            </w:tcMar>
          </w:tcPr>
          <w:p>
            <w:pPr>
              <w:spacing w:after="0"/>
            </w:pPr>
            <w:r>
              <w:rPr>
                <w:rFonts w:ascii="Arial" w:cs="Arial" w:eastAsia="Arial" w:hAnsi="Arial"/>
                <w:b/>
                <w:bCs/>
                <w:caps/>
                <w:color w:val="6B7280"/>
                <w:spacing w:val="20"/>
                <w:sz w:val="17"/>
                <w:szCs w:val="17"/>
              </w:rPr>
              <w:t xml:space="preserve">Field</w:t>
            </w:r>
          </w:p>
        </w:tc>
        <w:tc>
          <w:tcPr>
            <w:tcW w:type="dxa" w:w="7200"/>
            <w:shd w:fill="F7F5F1" w:color="auto" w:val="clear"/>
            <w:tcMar>
              <w:top w:type="dxa" w:w="100"/>
              <w:left w:type="dxa" w:w="130"/>
              <w:bottom w:type="dxa" w:w="100"/>
              <w:right w:type="dxa" w:w="130"/>
            </w:tcMar>
          </w:tcPr>
          <w:p>
            <w:pPr>
              <w:spacing w:after="0"/>
            </w:pPr>
            <w:r>
              <w:rPr>
                <w:rFonts w:ascii="Arial" w:cs="Arial" w:eastAsia="Arial" w:hAnsi="Arial"/>
                <w:b/>
                <w:bCs/>
                <w:caps/>
                <w:color w:val="6B7280"/>
                <w:spacing w:val="20"/>
                <w:sz w:val="17"/>
                <w:szCs w:val="17"/>
              </w:rPr>
              <w:t xml:space="preserve">Value</w:t>
            </w:r>
          </w:p>
        </w:tc>
      </w:tr>
      <w:tr>
        <w:trPr>
          <w:tblHeader w:val="false"/>
        </w:trPr>
        <w:tc>
          <w:tcPr>
            <w:tcW w:type="dxa" w:w="2880"/>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Revision</w:t>
            </w:r>
          </w:p>
        </w:tc>
        <w:tc>
          <w:tcPr>
            <w:tcW w:type="dxa" w:w="7200"/>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Rev A — 6 September 2026</w:t>
            </w:r>
          </w:p>
        </w:tc>
      </w:tr>
      <w:tr>
        <w:trPr>
          <w:tblHeader w:val="false"/>
        </w:trPr>
        <w:tc>
          <w:tcPr>
            <w:tcW w:type="dxa" w:w="2880"/>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Owner</w:t>
            </w:r>
          </w:p>
        </w:tc>
        <w:tc>
          <w:tcPr>
            <w:tcW w:type="dxa" w:w="7200"/>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Marketing — Innovative Group</w:t>
            </w:r>
          </w:p>
        </w:tc>
      </w:tr>
      <w:tr>
        <w:trPr>
          <w:tblHeader w:val="false"/>
        </w:trPr>
        <w:tc>
          <w:tcPr>
            <w:tcW w:type="dxa" w:w="2880"/>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Companion</w:t>
            </w:r>
          </w:p>
        </w:tc>
        <w:tc>
          <w:tcPr>
            <w:tcW w:type="dxa" w:w="7200"/>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The Demand Engine playbook (published artifact)</w:t>
            </w:r>
          </w:p>
        </w:tc>
      </w:tr>
      <w:tr>
        <w:trPr>
          <w:tblHeader w:val="false"/>
        </w:trPr>
        <w:tc>
          <w:tcPr>
            <w:tcW w:type="dxa" w:w="2880"/>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Model</w:t>
            </w:r>
          </w:p>
        </w:tc>
        <w:tc>
          <w:tcPr>
            <w:tcW w:type="dxa" w:w="7200"/>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demand-engine-model.xlsx</w:t>
            </w:r>
          </w:p>
        </w:tc>
      </w:tr>
      <w:tr>
        <w:trPr>
          <w:tblHeader w:val="false"/>
        </w:trPr>
        <w:tc>
          <w:tcPr>
            <w:tcW w:type="dxa" w:w="2880"/>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Status</w:t>
            </w:r>
          </w:p>
        </w:tc>
        <w:tc>
          <w:tcPr>
            <w:tcW w:type="dxa" w:w="7200"/>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Internal. Not for client distribution without review.</w:t>
            </w:r>
          </w:p>
        </w:tc>
      </w:tr>
    </w:tbl>
    <w:p>
      <w:r>
        <w:br w:type="page"/>
      </w:r>
    </w:p>
    <w:p>
      <w:pPr>
        <w:pStyle w:val="Heading1"/>
        <w:spacing w:after="60" w:before="0"/>
      </w:pPr>
      <w:r>
        <w:rPr>
          <w:rFonts w:ascii="Arial" w:cs="Arial" w:eastAsia="Arial" w:hAnsi="Arial"/>
          <w:b/>
          <w:bCs/>
          <w:color w:val="14181F"/>
          <w:sz w:val="38"/>
          <w:szCs w:val="38"/>
        </w:rPr>
        <w:t xml:space="preserve">How to use this workbook</w:t>
      </w:r>
    </w:p>
    <w:p>
      <w:pPr>
        <w:spacing w:after="200" w:before="0" w:line="276"/>
      </w:pPr>
      <w:r>
        <w:rPr>
          <w:rFonts w:ascii="Arial" w:cs="Arial" w:eastAsia="Arial" w:hAnsi="Arial"/>
          <w:color w:val="6B7280"/>
          <w:sz w:val="22"/>
          <w:szCs w:val="22"/>
        </w:rPr>
        <w:t xml:space="preserve">Each worksheet corresponds to one stage of the framework. Work them in order. A stage is finished when its output exists as a written artifact, not when it has been discussed.</w:t>
      </w:r>
    </w:p>
    <w:tbl>
      <w:tblPr>
        <w:tblW w:type="dxa" w:w="10080"/>
        <w:tblBorders>
          <w:top w:val="single" w:color="D8D5CE" w:sz="4"/>
          <w:left w:val="single" w:color="D8D5CE" w:sz="4"/>
          <w:bottom w:val="single" w:color="D8D5CE" w:sz="4"/>
          <w:right w:val="single" w:color="D8D5CE" w:sz="4"/>
          <w:insideH w:val="single" w:color="D8D5CE" w:sz="4"/>
          <w:insideV w:val="single" w:color="D8D5CE" w:sz="4"/>
        </w:tblBorders>
      </w:tblPr>
      <w:tblGrid>
        <w:gridCol w:w="2880"/>
        <w:gridCol w:w="4320"/>
        <w:gridCol w:w="2880"/>
      </w:tblGrid>
      <w:tr>
        <w:trPr>
          <w:tblHeader/>
        </w:trPr>
        <w:tc>
          <w:tcPr>
            <w:tcW w:type="dxa" w:w="2880"/>
            <w:shd w:fill="F7F5F1" w:color="auto" w:val="clear"/>
            <w:tcMar>
              <w:top w:type="dxa" w:w="100"/>
              <w:left w:type="dxa" w:w="130"/>
              <w:bottom w:type="dxa" w:w="100"/>
              <w:right w:type="dxa" w:w="130"/>
            </w:tcMar>
          </w:tcPr>
          <w:p>
            <w:pPr>
              <w:spacing w:after="0"/>
            </w:pPr>
            <w:r>
              <w:rPr>
                <w:rFonts w:ascii="Arial" w:cs="Arial" w:eastAsia="Arial" w:hAnsi="Arial"/>
                <w:b/>
                <w:bCs/>
                <w:caps/>
                <w:color w:val="6B7280"/>
                <w:spacing w:val="20"/>
                <w:sz w:val="17"/>
                <w:szCs w:val="17"/>
              </w:rPr>
              <w:t xml:space="preserve">Worksheet</w:t>
            </w:r>
          </w:p>
        </w:tc>
        <w:tc>
          <w:tcPr>
            <w:tcW w:type="dxa" w:w="4320"/>
            <w:shd w:fill="F7F5F1" w:color="auto" w:val="clear"/>
            <w:tcMar>
              <w:top w:type="dxa" w:w="100"/>
              <w:left w:type="dxa" w:w="130"/>
              <w:bottom w:type="dxa" w:w="100"/>
              <w:right w:type="dxa" w:w="130"/>
            </w:tcMar>
          </w:tcPr>
          <w:p>
            <w:pPr>
              <w:spacing w:after="0"/>
            </w:pPr>
            <w:r>
              <w:rPr>
                <w:rFonts w:ascii="Arial" w:cs="Arial" w:eastAsia="Arial" w:hAnsi="Arial"/>
                <w:b/>
                <w:bCs/>
                <w:caps/>
                <w:color w:val="6B7280"/>
                <w:spacing w:val="20"/>
                <w:sz w:val="17"/>
                <w:szCs w:val="17"/>
              </w:rPr>
              <w:t xml:space="preserve">Produces</w:t>
            </w:r>
          </w:p>
        </w:tc>
        <w:tc>
          <w:tcPr>
            <w:tcW w:type="dxa" w:w="2880"/>
            <w:shd w:fill="F7F5F1" w:color="auto" w:val="clear"/>
            <w:tcMar>
              <w:top w:type="dxa" w:w="100"/>
              <w:left w:type="dxa" w:w="130"/>
              <w:bottom w:type="dxa" w:w="100"/>
              <w:right w:type="dxa" w:w="130"/>
            </w:tcMar>
          </w:tcPr>
          <w:p>
            <w:pPr>
              <w:spacing w:after="0"/>
            </w:pPr>
            <w:r>
              <w:rPr>
                <w:rFonts w:ascii="Arial" w:cs="Arial" w:eastAsia="Arial" w:hAnsi="Arial"/>
                <w:b/>
                <w:bCs/>
                <w:caps/>
                <w:color w:val="6B7280"/>
                <w:spacing w:val="20"/>
                <w:sz w:val="17"/>
                <w:szCs w:val="17"/>
              </w:rPr>
              <w:t xml:space="preserve">Stage</w:t>
            </w:r>
          </w:p>
        </w:tc>
      </w:tr>
      <w:tr>
        <w:trPr>
          <w:tblHeader w:val="false"/>
        </w:trPr>
        <w:tc>
          <w:tcPr>
            <w:tcW w:type="dxa" w:w="2880"/>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1 — Offer architecture</w:t>
            </w:r>
          </w:p>
        </w:tc>
        <w:tc>
          <w:tcPr>
            <w:tcW w:type="dxa" w:w="4320"/>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A named crowd, a mapped committee, one claim sentence with sources, and a five-rung ladder. Works on a client's offer as readily as on ours</w:t>
            </w:r>
          </w:p>
        </w:tc>
        <w:tc>
          <w:tcPr>
            <w:tcW w:type="dxa" w:w="2880"/>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Crowd, Claim, Ladder</w:t>
            </w:r>
          </w:p>
        </w:tc>
      </w:tr>
      <w:tr>
        <w:trPr>
          <w:tblHeader w:val="false"/>
        </w:trPr>
        <w:tc>
          <w:tcPr>
            <w:tcW w:type="dxa" w:w="2880"/>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2 — Session script</w:t>
            </w:r>
          </w:p>
        </w:tc>
        <w:tc>
          <w:tcPr>
            <w:tcW w:type="dxa" w:w="4320"/>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A 40-minute teaching session, beat by beat, with timings</w:t>
            </w:r>
          </w:p>
        </w:tc>
        <w:tc>
          <w:tcPr>
            <w:tcW w:type="dxa" w:w="2880"/>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Room</w:t>
            </w:r>
          </w:p>
        </w:tc>
      </w:tr>
      <w:tr>
        <w:trPr>
          <w:tblHeader w:val="false"/>
        </w:trPr>
        <w:tc>
          <w:tcPr>
            <w:tcW w:type="dxa" w:w="2880"/>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3 — Sequences</w:t>
            </w:r>
          </w:p>
        </w:tc>
        <w:tc>
          <w:tcPr>
            <w:tcW w:type="dxa" w:w="4320"/>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Registration, reminder, 72-hour follow-up and non-buyer nurture copy</w:t>
            </w:r>
          </w:p>
        </w:tc>
        <w:tc>
          <w:tcPr>
            <w:tcW w:type="dxa" w:w="2880"/>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Room, Receipts</w:t>
            </w:r>
          </w:p>
        </w:tc>
      </w:tr>
      <w:tr>
        <w:trPr>
          <w:tblHeader w:val="false"/>
        </w:trPr>
        <w:tc>
          <w:tcPr>
            <w:tcW w:type="dxa" w:w="2880"/>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4 — Ad and landing copy</w:t>
            </w:r>
          </w:p>
        </w:tc>
        <w:tc>
          <w:tcPr>
            <w:tcW w:type="dxa" w:w="4320"/>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Hook patterns, a registration page spec, and the substantiation log</w:t>
            </w:r>
          </w:p>
        </w:tc>
        <w:tc>
          <w:tcPr>
            <w:tcW w:type="dxa" w:w="2880"/>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Claim</w:t>
            </w:r>
          </w:p>
        </w:tc>
      </w:tr>
      <w:tr>
        <w:trPr>
          <w:tblHeader w:val="false"/>
        </w:trPr>
        <w:tc>
          <w:tcPr>
            <w:tcW w:type="dxa" w:w="2880"/>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5 — Pre-publish gate</w:t>
            </w:r>
          </w:p>
        </w:tc>
        <w:tc>
          <w:tcPr>
            <w:tcW w:type="dxa" w:w="4320"/>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A sign-off checklist that nothing ships without, for our work and client work alike</w:t>
            </w:r>
          </w:p>
        </w:tc>
        <w:tc>
          <w:tcPr>
            <w:tcW w:type="dxa" w:w="2880"/>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Receipts</w:t>
            </w:r>
          </w:p>
        </w:tc>
      </w:tr>
      <w:tr>
        <w:trPr>
          <w:tblHeader w:val="false"/>
        </w:trPr>
        <w:tc>
          <w:tcPr>
            <w:tcW w:type="dxa" w:w="2880"/>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6 — Three-week cohort</w:t>
            </w:r>
          </w:p>
        </w:tc>
        <w:tc>
          <w:tcPr>
            <w:tcW w:type="dxa" w:w="4320"/>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The mid-rung programme: session shape, homework design, the manager loop, and where the offer lands</w:t>
            </w:r>
          </w:p>
        </w:tc>
        <w:tc>
          <w:tcPr>
            <w:tcW w:type="dxa" w:w="2880"/>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Room</w:t>
            </w:r>
          </w:p>
        </w:tc>
      </w:tr>
    </w:tbl>
    <w:p>
      <w:pPr>
        <w:spacing w:after="120"/>
      </w:pPr>
      <w:r>
        <w:rPr>
          <w:rFonts w:ascii="Arial" w:cs="Arial" w:eastAsia="Arial" w:hAnsi="Arial"/>
          <w:sz w:val="16"/>
          <w:szCs w:val="16"/>
        </w:rPr>
        <w:t xml:space="preserve"/>
      </w:r>
    </w:p>
    <w:tbl>
      <w:tblPr>
        <w:tblW w:type="dxa" w:w="10080"/>
        <w:tblBorders>
          <w:top w:val="none"/>
          <w:left w:val="single" w:color="B8801F" w:sz="18"/>
          <w:bottom w:val="none"/>
          <w:right w:val="none"/>
          <w:insideH w:val="none"/>
          <w:insideV w:val="none"/>
        </w:tblBorders>
      </w:tblPr>
      <w:tblGrid>
        <w:gridCol w:w="10080"/>
      </w:tblGrid>
      <w:tr>
        <w:tc>
          <w:tcPr>
            <w:tcW w:type="dxa" w:w="10080"/>
            <w:shd w:fill="F7F5F1" w:color="auto" w:val="clear"/>
            <w:tcMar>
              <w:top w:type="dxa" w:w="140"/>
              <w:left w:type="dxa" w:w="180"/>
              <w:bottom w:type="dxa" w:w="140"/>
              <w:right w:type="dxa" w:w="160"/>
            </w:tcMar>
          </w:tcPr>
          <w:p>
            <w:pPr>
              <w:spacing w:after="0" w:before="0" w:line="276"/>
            </w:pPr>
            <w:r>
              <w:rPr>
                <w:rFonts w:ascii="Arial" w:cs="Arial" w:eastAsia="Arial" w:hAnsi="Arial"/>
                <w:color w:val="14181F"/>
                <w:sz w:val="19"/>
                <w:szCs w:val="19"/>
              </w:rPr>
              <w:t xml:space="preserve">Underlined blanks are yours to fill. Tables with example rows are marked EXAMPLE and should be overwritten, not appended to. Every number that reaches a customer needs a line in the substantiation log in worksheet 4 before it publishes.</w:t>
            </w:r>
          </w:p>
        </w:tc>
      </w:tr>
    </w:tbl>
    <w:p>
      <w:r>
        <w:br w:type="page"/>
      </w:r>
    </w:p>
    <w:p>
      <w:pPr>
        <w:pStyle w:val="Heading1"/>
        <w:spacing w:after="60" w:before="0"/>
      </w:pPr>
      <w:r>
        <w:rPr>
          <w:rFonts w:ascii="Arial" w:cs="Arial" w:eastAsia="Arial" w:hAnsi="Arial"/>
          <w:b/>
          <w:bCs/>
          <w:color w:val="14181F"/>
          <w:sz w:val="38"/>
          <w:szCs w:val="38"/>
        </w:rPr>
        <w:t xml:space="preserve">Worked example</w:t>
      </w:r>
    </w:p>
    <w:p>
      <w:pPr>
        <w:spacing w:after="180" w:before="0" w:line="276"/>
      </w:pPr>
      <w:r>
        <w:rPr>
          <w:rFonts w:ascii="Arial" w:cs="Arial" w:eastAsia="Arial" w:hAnsi="Arial"/>
          <w:color w:val="6B7280"/>
          <w:sz w:val="22"/>
          <w:szCs w:val="22"/>
        </w:rPr>
        <w:t xml:space="preserve">A teaching example, filled end to end, so nobody has to start from a blank form. The segment is real, the arithmetic is illustrative, and none of it describes a live engagement. Overwrite it with your own.</w:t>
      </w:r>
    </w:p>
    <w:tbl>
      <w:tblPr>
        <w:tblW w:type="dxa" w:w="10080"/>
        <w:tblBorders>
          <w:top w:val="none"/>
          <w:left w:val="single" w:color="A8462F" w:sz="18"/>
          <w:bottom w:val="none"/>
          <w:right w:val="none"/>
          <w:insideH w:val="none"/>
          <w:insideV w:val="none"/>
        </w:tblBorders>
      </w:tblPr>
      <w:tblGrid>
        <w:gridCol w:w="10080"/>
      </w:tblGrid>
      <w:tr>
        <w:tc>
          <w:tcPr>
            <w:tcW w:type="dxa" w:w="10080"/>
            <w:shd w:fill="FAF1EE" w:color="auto" w:val="clear"/>
            <w:tcMar>
              <w:top w:type="dxa" w:w="140"/>
              <w:left w:type="dxa" w:w="180"/>
              <w:bottom w:type="dxa" w:w="140"/>
              <w:right w:type="dxa" w:w="160"/>
            </w:tcMar>
          </w:tcPr>
          <w:p>
            <w:pPr>
              <w:spacing w:after="0" w:before="0" w:line="276"/>
            </w:pPr>
            <w:r>
              <w:rPr>
                <w:rFonts w:ascii="Arial" w:cs="Arial" w:eastAsia="Arial" w:hAnsi="Arial"/>
                <w:color w:val="14181F"/>
                <w:sz w:val="19"/>
                <w:szCs w:val="19"/>
              </w:rPr>
              <w:t xml:space="preserve">Read this before copying anything out of it. The point of the example is the reasoning, not the numbers. Every figure below would have to be re-derived for an actual account, and the guarantee in particular is written to be honoured.</w:t>
            </w:r>
          </w:p>
        </w:tc>
      </w:tr>
    </w:tbl>
    <w:p>
      <w:pPr>
        <w:pStyle w:val="Heading3"/>
        <w:spacing w:after="100" w:before="280"/>
      </w:pPr>
      <w:r>
        <w:rPr>
          <w:rFonts w:ascii="Arial" w:cs="Arial" w:eastAsia="Arial" w:hAnsi="Arial"/>
          <w:b/>
          <w:bCs/>
          <w:color w:val="14181F"/>
          <w:sz w:val="23"/>
          <w:szCs w:val="23"/>
        </w:rPr>
        <w:t xml:space="preserve">Crowd</w:t>
      </w:r>
    </w:p>
    <w:tbl>
      <w:tblPr>
        <w:tblW w:type="dxa" w:w="10080"/>
        <w:tblBorders>
          <w:top w:val="none"/>
          <w:left w:val="single" w:color="B8801F" w:sz="18"/>
          <w:bottom w:val="none"/>
          <w:right w:val="none"/>
          <w:insideH w:val="none"/>
          <w:insideV w:val="none"/>
        </w:tblBorders>
      </w:tblPr>
      <w:tblGrid>
        <w:gridCol w:w="10080"/>
      </w:tblGrid>
      <w:tr>
        <w:tc>
          <w:tcPr>
            <w:tcW w:type="dxa" w:w="10080"/>
            <w:shd w:fill="F7F5F1" w:color="auto" w:val="clear"/>
            <w:tcMar>
              <w:top w:type="dxa" w:w="140"/>
              <w:left w:type="dxa" w:w="180"/>
              <w:bottom w:type="dxa" w:w="140"/>
              <w:right w:type="dxa" w:w="160"/>
            </w:tcMar>
          </w:tcPr>
          <w:p>
            <w:pPr>
              <w:spacing w:after="0" w:before="0" w:line="276"/>
            </w:pPr>
            <w:r>
              <w:rPr>
                <w:rFonts w:ascii="Arial" w:cs="Arial" w:eastAsia="Arial" w:hAnsi="Arial"/>
                <w:color w:val="14181F"/>
                <w:sz w:val="19"/>
                <w:szCs w:val="19"/>
              </w:rPr>
              <w:t xml:space="preserve">Multi-location dental groups running three to fifteen chairs that bought an in-office 3D printer in the last eighteen months and are printing fewer than twenty appliances a month.</w:t>
            </w:r>
          </w:p>
        </w:tc>
      </w:tr>
    </w:tbl>
    <w:tbl>
      <w:tblPr>
        <w:tblW w:type="dxa" w:w="10080"/>
        <w:tblBorders>
          <w:top w:val="single" w:color="D8D5CE" w:sz="4"/>
          <w:left w:val="single" w:color="D8D5CE" w:sz="4"/>
          <w:bottom w:val="single" w:color="D8D5CE" w:sz="4"/>
          <w:right w:val="single" w:color="D8D5CE" w:sz="4"/>
          <w:insideH w:val="single" w:color="D8D5CE" w:sz="4"/>
          <w:insideV w:val="single" w:color="D8D5CE" w:sz="4"/>
        </w:tblBorders>
      </w:tblPr>
      <w:tblGrid>
        <w:gridCol w:w="2240"/>
        <w:gridCol w:w="5600"/>
        <w:gridCol w:w="2240"/>
      </w:tblGrid>
      <w:tr>
        <w:trPr>
          <w:tblHeader/>
        </w:trPr>
        <w:tc>
          <w:tcPr>
            <w:tcW w:type="dxa" w:w="2240"/>
            <w:shd w:fill="F7F5F1" w:color="auto" w:val="clear"/>
            <w:tcMar>
              <w:top w:type="dxa" w:w="100"/>
              <w:left w:type="dxa" w:w="130"/>
              <w:bottom w:type="dxa" w:w="100"/>
              <w:right w:type="dxa" w:w="130"/>
            </w:tcMar>
          </w:tcPr>
          <w:p>
            <w:pPr>
              <w:spacing w:after="0"/>
            </w:pPr>
            <w:r>
              <w:rPr>
                <w:rFonts w:ascii="Arial" w:cs="Arial" w:eastAsia="Arial" w:hAnsi="Arial"/>
                <w:b/>
                <w:bCs/>
                <w:caps/>
                <w:color w:val="6B7280"/>
                <w:spacing w:val="20"/>
                <w:sz w:val="17"/>
                <w:szCs w:val="17"/>
              </w:rPr>
              <w:t xml:space="preserve">Test</w:t>
            </w:r>
          </w:p>
        </w:tc>
        <w:tc>
          <w:tcPr>
            <w:tcW w:type="dxa" w:w="5600"/>
            <w:shd w:fill="F7F5F1" w:color="auto" w:val="clear"/>
            <w:tcMar>
              <w:top w:type="dxa" w:w="100"/>
              <w:left w:type="dxa" w:w="130"/>
              <w:bottom w:type="dxa" w:w="100"/>
              <w:right w:type="dxa" w:w="130"/>
            </w:tcMar>
          </w:tcPr>
          <w:p>
            <w:pPr>
              <w:spacing w:after="0"/>
            </w:pPr>
            <w:r>
              <w:rPr>
                <w:rFonts w:ascii="Arial" w:cs="Arial" w:eastAsia="Arial" w:hAnsi="Arial"/>
                <w:b/>
                <w:bCs/>
                <w:caps/>
                <w:color w:val="6B7280"/>
                <w:spacing w:val="20"/>
                <w:sz w:val="17"/>
                <w:szCs w:val="17"/>
              </w:rPr>
              <w:t xml:space="preserve">Why this segment passes</w:t>
            </w:r>
          </w:p>
        </w:tc>
        <w:tc>
          <w:tcPr>
            <w:tcW w:type="dxa" w:w="2240"/>
            <w:shd w:fill="F7F5F1" w:color="auto" w:val="clear"/>
            <w:tcMar>
              <w:top w:type="dxa" w:w="100"/>
              <w:left w:type="dxa" w:w="130"/>
              <w:bottom w:type="dxa" w:w="100"/>
              <w:right w:type="dxa" w:w="130"/>
            </w:tcMar>
          </w:tcPr>
          <w:p>
            <w:pPr>
              <w:spacing w:after="0"/>
            </w:pPr>
            <w:r>
              <w:rPr>
                <w:rFonts w:ascii="Arial" w:cs="Arial" w:eastAsia="Arial" w:hAnsi="Arial"/>
                <w:b/>
                <w:bCs/>
                <w:caps/>
                <w:color w:val="6B7280"/>
                <w:spacing w:val="20"/>
                <w:sz w:val="17"/>
                <w:szCs w:val="17"/>
              </w:rPr>
              <w:t xml:space="preserve">Pass</w:t>
            </w:r>
          </w:p>
        </w:tc>
      </w:tr>
      <w:tr>
        <w:trPr>
          <w:tblHeader w:val="false"/>
        </w:trPr>
        <w:tc>
          <w:tcPr>
            <w:tcW w:type="dxa" w:w="2240"/>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Real pain</w:t>
            </w:r>
          </w:p>
        </w:tc>
        <w:tc>
          <w:tcPr>
            <w:tcW w:type="dxa" w:w="5600"/>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A $30,000 to $80,000 asset is sitting idle and the owner already knows it. The pain is quantified on their own balance sheet, which means we never have to convince them a problem exists.</w:t>
            </w:r>
          </w:p>
        </w:tc>
        <w:tc>
          <w:tcPr>
            <w:tcW w:type="dxa" w:w="2240"/>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Yes</w:t>
            </w:r>
          </w:p>
        </w:tc>
      </w:tr>
      <w:tr>
        <w:trPr>
          <w:tblHeader w:val="false"/>
        </w:trPr>
        <w:tc>
          <w:tcPr>
            <w:tcW w:type="dxa" w:w="2240"/>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Purchasing power</w:t>
            </w:r>
          </w:p>
        </w:tc>
        <w:tc>
          <w:tcPr>
            <w:tcW w:type="dxa" w:w="5600"/>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A practice owner or a DSO operations director signs at our diagnostic price without opening a new budget line.</w:t>
            </w:r>
          </w:p>
        </w:tc>
        <w:tc>
          <w:tcPr>
            <w:tcW w:type="dxa" w:w="2240"/>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Yes</w:t>
            </w:r>
          </w:p>
        </w:tc>
      </w:tr>
      <w:tr>
        <w:trPr>
          <w:tblHeader w:val="false"/>
        </w:trPr>
        <w:tc>
          <w:tcPr>
            <w:tcW w:type="dxa" w:w="2240"/>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Reachable</w:t>
            </w:r>
          </w:p>
        </w:tc>
        <w:tc>
          <w:tcPr>
            <w:tcW w:type="dxa" w:w="5600"/>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AAO and ADA annual meetings, Dentaltown forums, the printer manufacturers' own customer communities, DSO operations groups on LinkedIn, and state dental association newsletters.</w:t>
            </w:r>
          </w:p>
        </w:tc>
        <w:tc>
          <w:tcPr>
            <w:tcW w:type="dxa" w:w="2240"/>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Yes</w:t>
            </w:r>
          </w:p>
        </w:tc>
      </w:tr>
      <w:tr>
        <w:trPr>
          <w:tblHeader w:val="false"/>
        </w:trPr>
        <w:tc>
          <w:tcPr>
            <w:tcW w:type="dxa" w:w="2240"/>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Growing</w:t>
            </w:r>
          </w:p>
        </w:tc>
        <w:tc>
          <w:tcPr>
            <w:tcW w:type="dxa" w:w="5600"/>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In-office printing adoption is rising, which means the population of underused printers grows with it.</w:t>
            </w:r>
          </w:p>
        </w:tc>
        <w:tc>
          <w:tcPr>
            <w:tcW w:type="dxa" w:w="2240"/>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Yes</w:t>
            </w:r>
          </w:p>
        </w:tc>
      </w:tr>
    </w:tbl>
    <w:p>
      <w:pPr>
        <w:spacing w:after="120"/>
      </w:pPr>
      <w:r>
        <w:rPr>
          <w:rFonts w:ascii="Arial" w:cs="Arial" w:eastAsia="Arial" w:hAnsi="Arial"/>
          <w:sz w:val="16"/>
          <w:szCs w:val="16"/>
        </w:rPr>
        <w:t xml:space="preserve"/>
      </w:r>
    </w:p>
    <w:p>
      <w:pPr>
        <w:spacing w:after="120" w:before="0" w:line="276"/>
      </w:pPr>
      <w:r>
        <w:rPr>
          <w:rFonts w:ascii="Arial" w:cs="Arial" w:eastAsia="Arial" w:hAnsi="Arial"/>
          <w:color w:val="6B7280"/>
          <w:sz w:val="20"/>
          <w:szCs w:val="20"/>
        </w:rPr>
        <w:t xml:space="preserve">Note what the narrowing bought us. "Dental practices" is a category. "Practices that bought a printer in the last eighteen months and are barely using it" is a list we can build, a problem we can name in one sentence, and a reason they take the call.</w:t>
      </w:r>
    </w:p>
    <w:p>
      <w:pPr>
        <w:pStyle w:val="Heading3"/>
        <w:spacing w:after="100" w:before="280"/>
      </w:pPr>
      <w:r>
        <w:rPr>
          <w:rFonts w:ascii="Arial" w:cs="Arial" w:eastAsia="Arial" w:hAnsi="Arial"/>
          <w:b/>
          <w:bCs/>
          <w:color w:val="14181F"/>
          <w:sz w:val="23"/>
          <w:szCs w:val="23"/>
        </w:rPr>
        <w:t xml:space="preserve">Committee</w:t>
      </w:r>
    </w:p>
    <w:tbl>
      <w:tblPr>
        <w:tblW w:type="dxa" w:w="10080"/>
        <w:tblBorders>
          <w:top w:val="single" w:color="D8D5CE" w:sz="4"/>
          <w:left w:val="single" w:color="D8D5CE" w:sz="4"/>
          <w:bottom w:val="single" w:color="D8D5CE" w:sz="4"/>
          <w:right w:val="single" w:color="D8D5CE" w:sz="4"/>
          <w:insideH w:val="single" w:color="D8D5CE" w:sz="4"/>
          <w:insideV w:val="single" w:color="D8D5CE" w:sz="4"/>
        </w:tblBorders>
      </w:tblPr>
      <w:tblGrid>
        <w:gridCol w:w="2240"/>
        <w:gridCol w:w="3360"/>
        <w:gridCol w:w="4480"/>
      </w:tblGrid>
      <w:tr>
        <w:trPr>
          <w:tblHeader/>
        </w:trPr>
        <w:tc>
          <w:tcPr>
            <w:tcW w:type="dxa" w:w="2240"/>
            <w:shd w:fill="F7F5F1" w:color="auto" w:val="clear"/>
            <w:tcMar>
              <w:top w:type="dxa" w:w="100"/>
              <w:left w:type="dxa" w:w="130"/>
              <w:bottom w:type="dxa" w:w="100"/>
              <w:right w:type="dxa" w:w="130"/>
            </w:tcMar>
          </w:tcPr>
          <w:p>
            <w:pPr>
              <w:spacing w:after="0"/>
            </w:pPr>
            <w:r>
              <w:rPr>
                <w:rFonts w:ascii="Arial" w:cs="Arial" w:eastAsia="Arial" w:hAnsi="Arial"/>
                <w:b/>
                <w:bCs/>
                <w:caps/>
                <w:color w:val="6B7280"/>
                <w:spacing w:val="20"/>
                <w:sz w:val="17"/>
                <w:szCs w:val="17"/>
              </w:rPr>
              <w:t xml:space="preserve">Role</w:t>
            </w:r>
          </w:p>
        </w:tc>
        <w:tc>
          <w:tcPr>
            <w:tcW w:type="dxa" w:w="3360"/>
            <w:shd w:fill="F7F5F1" w:color="auto" w:val="clear"/>
            <w:tcMar>
              <w:top w:type="dxa" w:w="100"/>
              <w:left w:type="dxa" w:w="130"/>
              <w:bottom w:type="dxa" w:w="100"/>
              <w:right w:type="dxa" w:w="130"/>
            </w:tcMar>
          </w:tcPr>
          <w:p>
            <w:pPr>
              <w:spacing w:after="0"/>
            </w:pPr>
            <w:r>
              <w:rPr>
                <w:rFonts w:ascii="Arial" w:cs="Arial" w:eastAsia="Arial" w:hAnsi="Arial"/>
                <w:b/>
                <w:bCs/>
                <w:caps/>
                <w:color w:val="6B7280"/>
                <w:spacing w:val="20"/>
                <w:sz w:val="17"/>
                <w:szCs w:val="17"/>
              </w:rPr>
              <w:t xml:space="preserve">Typical title</w:t>
            </w:r>
          </w:p>
        </w:tc>
        <w:tc>
          <w:tcPr>
            <w:tcW w:type="dxa" w:w="4480"/>
            <w:shd w:fill="F7F5F1" w:color="auto" w:val="clear"/>
            <w:tcMar>
              <w:top w:type="dxa" w:w="100"/>
              <w:left w:type="dxa" w:w="130"/>
              <w:bottom w:type="dxa" w:w="100"/>
              <w:right w:type="dxa" w:w="130"/>
            </w:tcMar>
          </w:tcPr>
          <w:p>
            <w:pPr>
              <w:spacing w:after="0"/>
            </w:pPr>
            <w:r>
              <w:rPr>
                <w:rFonts w:ascii="Arial" w:cs="Arial" w:eastAsia="Arial" w:hAnsi="Arial"/>
                <w:b/>
                <w:bCs/>
                <w:caps/>
                <w:color w:val="6B7280"/>
                <w:spacing w:val="20"/>
                <w:sz w:val="17"/>
                <w:szCs w:val="17"/>
              </w:rPr>
              <w:t xml:space="preserve">What they have to believe</w:t>
            </w:r>
          </w:p>
        </w:tc>
      </w:tr>
      <w:tr>
        <w:trPr>
          <w:tblHeader w:val="false"/>
        </w:trPr>
        <w:tc>
          <w:tcPr>
            <w:tcW w:type="dxa" w:w="2240"/>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Economic buyer</w:t>
            </w:r>
          </w:p>
        </w:tc>
        <w:tc>
          <w:tcPr>
            <w:tcW w:type="dxa" w:w="3360"/>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Practice owner, or DSO operations director</w:t>
            </w:r>
          </w:p>
        </w:tc>
        <w:tc>
          <w:tcPr>
            <w:tcW w:type="dxa" w:w="4480"/>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That the printer reaches payback this year, and that we can show the arithmetic before they commit.</w:t>
            </w:r>
          </w:p>
        </w:tc>
      </w:tr>
      <w:tr>
        <w:trPr>
          <w:tblHeader w:val="false"/>
        </w:trPr>
        <w:tc>
          <w:tcPr>
            <w:tcW w:type="dxa" w:w="2240"/>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Champion</w:t>
            </w:r>
          </w:p>
        </w:tc>
        <w:tc>
          <w:tcPr>
            <w:tcW w:type="dxa" w:w="3360"/>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Lead dentist or clinical director</w:t>
            </w:r>
          </w:p>
        </w:tc>
        <w:tc>
          <w:tcPr>
            <w:tcW w:type="dxa" w:w="4480"/>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That chair time per case goes down, not up, while they are learning.</w:t>
            </w:r>
          </w:p>
        </w:tc>
      </w:tr>
      <w:tr>
        <w:trPr>
          <w:tblHeader w:val="false"/>
        </w:trPr>
        <w:tc>
          <w:tcPr>
            <w:tcW w:type="dxa" w:w="2240"/>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Technical evaluator</w:t>
            </w:r>
          </w:p>
        </w:tc>
        <w:tc>
          <w:tcPr>
            <w:tcW w:type="dxa" w:w="3360"/>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Lab manager or the assistant running the printer</w:t>
            </w:r>
          </w:p>
        </w:tc>
        <w:tc>
          <w:tcPr>
            <w:tcW w:type="dxa" w:w="4480"/>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That the workflow is learnable by the staff they already have.</w:t>
            </w:r>
          </w:p>
        </w:tc>
      </w:tr>
      <w:tr>
        <w:trPr>
          <w:tblHeader w:val="false"/>
        </w:trPr>
        <w:tc>
          <w:tcPr>
            <w:tcW w:type="dxa" w:w="2240"/>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Blocker</w:t>
            </w:r>
          </w:p>
        </w:tc>
        <w:tc>
          <w:tcPr>
            <w:tcW w:type="dxa" w:w="3360"/>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Office manager</w:t>
            </w:r>
          </w:p>
        </w:tc>
        <w:tc>
          <w:tcPr>
            <w:tcW w:type="dxa" w:w="4480"/>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That scheduling and billing do not break during the change.</w:t>
            </w:r>
          </w:p>
        </w:tc>
      </w:tr>
      <w:tr>
        <w:trPr>
          <w:tblHeader w:val="false"/>
        </w:trPr>
        <w:tc>
          <w:tcPr>
            <w:tcW w:type="dxa" w:w="2240"/>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End user</w:t>
            </w:r>
          </w:p>
        </w:tc>
        <w:tc>
          <w:tcPr>
            <w:tcW w:type="dxa" w:w="3360"/>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Chairside assistant</w:t>
            </w:r>
          </w:p>
        </w:tc>
        <w:tc>
          <w:tcPr>
            <w:tcW w:type="dxa" w:w="4480"/>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That the new steps are fewer than the old ones.</w:t>
            </w:r>
          </w:p>
        </w:tc>
      </w:tr>
    </w:tbl>
    <w:p>
      <w:pPr>
        <w:spacing w:after="120"/>
      </w:pPr>
      <w:r>
        <w:rPr>
          <w:rFonts w:ascii="Arial" w:cs="Arial" w:eastAsia="Arial" w:hAnsi="Arial"/>
          <w:sz w:val="16"/>
          <w:szCs w:val="16"/>
        </w:rPr>
        <w:t xml:space="preserve"/>
      </w:r>
    </w:p>
    <w:p>
      <w:pPr>
        <w:spacing w:after="120" w:before="0" w:line="276"/>
      </w:pPr>
      <w:r>
        <w:rPr>
          <w:rFonts w:ascii="Arial" w:cs="Arial" w:eastAsia="Arial" w:hAnsi="Arial"/>
          <w:color w:val="6B7280"/>
          <w:sz w:val="20"/>
          <w:szCs w:val="20"/>
        </w:rPr>
        <w:t xml:space="preserve">The session is written for the champion. The follow-up assets are written for the economic buyer and the office manager, because the champion has to forward something that survives being read without us in the room.</w:t>
      </w:r>
    </w:p>
    <w:p>
      <w:pPr>
        <w:pStyle w:val="Heading3"/>
        <w:spacing w:after="100" w:before="280"/>
      </w:pPr>
      <w:r>
        <w:rPr>
          <w:rFonts w:ascii="Arial" w:cs="Arial" w:eastAsia="Arial" w:hAnsi="Arial"/>
          <w:b/>
          <w:bCs/>
          <w:color w:val="14181F"/>
          <w:sz w:val="23"/>
          <w:szCs w:val="23"/>
        </w:rPr>
        <w:t xml:space="preserve">Claim</w:t>
      </w:r>
    </w:p>
    <w:tbl>
      <w:tblPr>
        <w:tblW w:type="dxa" w:w="10080"/>
        <w:tblBorders>
          <w:top w:val="none"/>
          <w:left w:val="single" w:color="B8801F" w:sz="18"/>
          <w:bottom w:val="none"/>
          <w:right w:val="none"/>
          <w:insideH w:val="none"/>
          <w:insideV w:val="none"/>
        </w:tblBorders>
      </w:tblPr>
      <w:tblGrid>
        <w:gridCol w:w="10080"/>
      </w:tblGrid>
      <w:tr>
        <w:tc>
          <w:tcPr>
            <w:tcW w:type="dxa" w:w="10080"/>
            <w:shd w:fill="F7F5F1" w:color="auto" w:val="clear"/>
            <w:tcMar>
              <w:top w:type="dxa" w:w="140"/>
              <w:left w:type="dxa" w:w="180"/>
              <w:bottom w:type="dxa" w:w="140"/>
              <w:right w:type="dxa" w:w="160"/>
            </w:tcMar>
          </w:tcPr>
          <w:p>
            <w:pPr>
              <w:spacing w:after="0" w:before="0" w:line="276"/>
            </w:pPr>
            <w:r>
              <w:rPr>
                <w:rFonts w:ascii="Arial" w:cs="Arial" w:eastAsia="Arial" w:hAnsi="Arial"/>
                <w:color w:val="14181F"/>
                <w:sz w:val="19"/>
                <w:szCs w:val="19"/>
              </w:rPr>
              <w:t xml:space="preserve">The only way a practice gets payback on an in-office printer is by redesigning the appointment around same-day delivery. Printing more of what the lab already makes does not get there.</w:t>
            </w:r>
          </w:p>
        </w:tc>
      </w:tr>
    </w:tbl>
    <w:p>
      <w:pPr>
        <w:spacing w:after="120" w:before="0" w:line="276"/>
      </w:pPr>
      <w:r>
        <w:rPr>
          <w:rFonts w:ascii="Arial" w:cs="Arial" w:eastAsia="Arial" w:hAnsi="Arial"/>
          <w:color w:val="14181F"/>
          <w:sz w:val="20"/>
          <w:szCs w:val="20"/>
        </w:rPr>
        <w:t xml:space="preserve">It is one sentence, it is falsifiable, and it reframes the problem away from the machine and onto the schedule, which is the part we are actually good at. Now the value equation.</w:t>
      </w:r>
    </w:p>
    <w:tbl>
      <w:tblPr>
        <w:tblW w:type="dxa" w:w="10080"/>
        <w:tblBorders>
          <w:top w:val="single" w:color="D8D5CE" w:sz="4"/>
          <w:left w:val="single" w:color="D8D5CE" w:sz="4"/>
          <w:bottom w:val="single" w:color="D8D5CE" w:sz="4"/>
          <w:right w:val="single" w:color="D8D5CE" w:sz="4"/>
          <w:insideH w:val="single" w:color="D8D5CE" w:sz="4"/>
          <w:insideV w:val="single" w:color="D8D5CE" w:sz="4"/>
        </w:tblBorders>
      </w:tblPr>
      <w:tblGrid>
        <w:gridCol w:w="3024"/>
        <w:gridCol w:w="5040"/>
        <w:gridCol w:w="2016"/>
      </w:tblGrid>
      <w:tr>
        <w:trPr>
          <w:tblHeader/>
        </w:trPr>
        <w:tc>
          <w:tcPr>
            <w:tcW w:type="dxa" w:w="3024"/>
            <w:shd w:fill="F7F5F1" w:color="auto" w:val="clear"/>
            <w:tcMar>
              <w:top w:type="dxa" w:w="100"/>
              <w:left w:type="dxa" w:w="130"/>
              <w:bottom w:type="dxa" w:w="100"/>
              <w:right w:type="dxa" w:w="130"/>
            </w:tcMar>
          </w:tcPr>
          <w:p>
            <w:pPr>
              <w:spacing w:after="0"/>
            </w:pPr>
            <w:r>
              <w:rPr>
                <w:rFonts w:ascii="Arial" w:cs="Arial" w:eastAsia="Arial" w:hAnsi="Arial"/>
                <w:b/>
                <w:bCs/>
                <w:caps/>
                <w:color w:val="6B7280"/>
                <w:spacing w:val="20"/>
                <w:sz w:val="17"/>
                <w:szCs w:val="17"/>
              </w:rPr>
              <w:t xml:space="preserve">Term</w:t>
            </w:r>
          </w:p>
        </w:tc>
        <w:tc>
          <w:tcPr>
            <w:tcW w:type="dxa" w:w="5040"/>
            <w:shd w:fill="F7F5F1" w:color="auto" w:val="clear"/>
            <w:tcMar>
              <w:top w:type="dxa" w:w="100"/>
              <w:left w:type="dxa" w:w="130"/>
              <w:bottom w:type="dxa" w:w="100"/>
              <w:right w:type="dxa" w:w="130"/>
            </w:tcMar>
          </w:tcPr>
          <w:p>
            <w:pPr>
              <w:spacing w:after="0"/>
            </w:pPr>
            <w:r>
              <w:rPr>
                <w:rFonts w:ascii="Arial" w:cs="Arial" w:eastAsia="Arial" w:hAnsi="Arial"/>
                <w:b/>
                <w:bCs/>
                <w:caps/>
                <w:color w:val="6B7280"/>
                <w:spacing w:val="20"/>
                <w:sz w:val="17"/>
                <w:szCs w:val="17"/>
              </w:rPr>
              <w:t xml:space="preserve">Where we stand and what we do about it</w:t>
            </w:r>
          </w:p>
        </w:tc>
        <w:tc>
          <w:tcPr>
            <w:tcW w:type="dxa" w:w="2016"/>
            <w:shd w:fill="F7F5F1" w:color="auto" w:val="clear"/>
            <w:tcMar>
              <w:top w:type="dxa" w:w="100"/>
              <w:left w:type="dxa" w:w="130"/>
              <w:bottom w:type="dxa" w:w="100"/>
              <w:right w:type="dxa" w:w="130"/>
            </w:tcMar>
          </w:tcPr>
          <w:p>
            <w:pPr>
              <w:spacing w:after="0"/>
            </w:pPr>
            <w:r>
              <w:rPr>
                <w:rFonts w:ascii="Arial" w:cs="Arial" w:eastAsia="Arial" w:hAnsi="Arial"/>
                <w:b/>
                <w:bCs/>
                <w:caps/>
                <w:color w:val="6B7280"/>
                <w:spacing w:val="20"/>
                <w:sz w:val="17"/>
                <w:szCs w:val="17"/>
              </w:rPr>
              <w:t xml:space="preserve">Score</w:t>
            </w:r>
          </w:p>
        </w:tc>
      </w:tr>
      <w:tr>
        <w:trPr>
          <w:tblHeader w:val="false"/>
        </w:trPr>
        <w:tc>
          <w:tcPr>
            <w:tcW w:type="dxa" w:w="3024"/>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Dream outcome  (multiply)</w:t>
            </w:r>
          </w:p>
        </w:tc>
        <w:tc>
          <w:tcPr>
            <w:tcW w:type="dxa" w:w="5040"/>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The asset pays for itself and the practice can offer same-day cases competitors cannot. Status, not features.</w:t>
            </w:r>
          </w:p>
        </w:tc>
        <w:tc>
          <w:tcPr>
            <w:tcW w:type="dxa" w:w="2016"/>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8</w:t>
            </w:r>
          </w:p>
        </w:tc>
      </w:tr>
      <w:tr>
        <w:trPr>
          <w:tblHeader w:val="false"/>
        </w:trPr>
        <w:tc>
          <w:tcPr>
            <w:tcW w:type="dxa" w:w="3024"/>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Perceived likelihood  (multiply)</w:t>
            </w:r>
          </w:p>
        </w:tc>
        <w:tc>
          <w:tcPr>
            <w:tcW w:type="dxa" w:w="5040"/>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Weakest term. Fix with named practices, the utilisation arithmetic shown on the session, and a conditional guarantee.</w:t>
            </w:r>
          </w:p>
        </w:tc>
        <w:tc>
          <w:tcPr>
            <w:tcW w:type="dxa" w:w="2016"/>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4 → 8</w:t>
            </w:r>
          </w:p>
        </w:tc>
      </w:tr>
      <w:tr>
        <w:trPr>
          <w:tblHeader w:val="false"/>
        </w:trPr>
        <w:tc>
          <w:tcPr>
            <w:tcW w:type="dxa" w:w="3024"/>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Time delay  (divide)</w:t>
            </w:r>
          </w:p>
        </w:tc>
        <w:tc>
          <w:tcPr>
            <w:tcW w:type="dxa" w:w="5040"/>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A redesigned same-day case map delivered on day fourteen, named in the contract.</w:t>
            </w:r>
          </w:p>
        </w:tc>
        <w:tc>
          <w:tcPr>
            <w:tcW w:type="dxa" w:w="2016"/>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High → low</w:t>
            </w:r>
          </w:p>
        </w:tc>
      </w:tr>
      <w:tr>
        <w:trPr>
          <w:tblHeader w:val="false"/>
        </w:trPr>
        <w:tc>
          <w:tcPr>
            <w:tcW w:type="dxa" w:w="3024"/>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Effort and sacrifice  (divide)</w:t>
            </w:r>
          </w:p>
        </w:tc>
        <w:tc>
          <w:tcPr>
            <w:tcW w:type="dxa" w:w="5040"/>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We do the workflow mapping and the staff training. The practice supplies access and two hours of the clinical director's time.</w:t>
            </w:r>
          </w:p>
        </w:tc>
        <w:tc>
          <w:tcPr>
            <w:tcW w:type="dxa" w:w="2016"/>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High → low</w:t>
            </w:r>
          </w:p>
        </w:tc>
      </w:tr>
    </w:tbl>
    <w:p>
      <w:pPr>
        <w:pStyle w:val="Heading3"/>
        <w:spacing w:after="100" w:before="280"/>
      </w:pPr>
      <w:r>
        <w:rPr>
          <w:rFonts w:ascii="Arial" w:cs="Arial" w:eastAsia="Arial" w:hAnsi="Arial"/>
          <w:b/>
          <w:bCs/>
          <w:color w:val="14181F"/>
          <w:sz w:val="23"/>
          <w:szCs w:val="23"/>
        </w:rPr>
        <w:t xml:space="preserve">Problems, solutions, and the trim</w:t>
      </w:r>
    </w:p>
    <w:tbl>
      <w:tblPr>
        <w:tblW w:type="dxa" w:w="10080"/>
        <w:tblBorders>
          <w:top w:val="single" w:color="D8D5CE" w:sz="4"/>
          <w:left w:val="single" w:color="D8D5CE" w:sz="4"/>
          <w:bottom w:val="single" w:color="D8D5CE" w:sz="4"/>
          <w:right w:val="single" w:color="D8D5CE" w:sz="4"/>
          <w:insideH w:val="single" w:color="D8D5CE" w:sz="4"/>
          <w:insideV w:val="single" w:color="D8D5CE" w:sz="4"/>
        </w:tblBorders>
      </w:tblPr>
      <w:tblGrid>
        <w:gridCol w:w="3024"/>
        <w:gridCol w:w="3024"/>
        <w:gridCol w:w="2016"/>
        <w:gridCol w:w="2016"/>
      </w:tblGrid>
      <w:tr>
        <w:trPr>
          <w:tblHeader/>
        </w:trPr>
        <w:tc>
          <w:tcPr>
            <w:tcW w:type="dxa" w:w="3024"/>
            <w:shd w:fill="F7F5F1" w:color="auto" w:val="clear"/>
            <w:tcMar>
              <w:top w:type="dxa" w:w="100"/>
              <w:left w:type="dxa" w:w="130"/>
              <w:bottom w:type="dxa" w:w="100"/>
              <w:right w:type="dxa" w:w="130"/>
            </w:tcMar>
          </w:tcPr>
          <w:p>
            <w:pPr>
              <w:spacing w:after="0"/>
            </w:pPr>
            <w:r>
              <w:rPr>
                <w:rFonts w:ascii="Arial" w:cs="Arial" w:eastAsia="Arial" w:hAnsi="Arial"/>
                <w:b/>
                <w:bCs/>
                <w:caps/>
                <w:color w:val="6B7280"/>
                <w:spacing w:val="20"/>
                <w:sz w:val="17"/>
                <w:szCs w:val="17"/>
              </w:rPr>
              <w:t xml:space="preserve">Problem they hit</w:t>
            </w:r>
          </w:p>
        </w:tc>
        <w:tc>
          <w:tcPr>
            <w:tcW w:type="dxa" w:w="3024"/>
            <w:shd w:fill="F7F5F1" w:color="auto" w:val="clear"/>
            <w:tcMar>
              <w:top w:type="dxa" w:w="100"/>
              <w:left w:type="dxa" w:w="130"/>
              <w:bottom w:type="dxa" w:w="100"/>
              <w:right w:type="dxa" w:w="130"/>
            </w:tcMar>
          </w:tcPr>
          <w:p>
            <w:pPr>
              <w:spacing w:after="0"/>
            </w:pPr>
            <w:r>
              <w:rPr>
                <w:rFonts w:ascii="Arial" w:cs="Arial" w:eastAsia="Arial" w:hAnsi="Arial"/>
                <w:b/>
                <w:bCs/>
                <w:caps/>
                <w:color w:val="6B7280"/>
                <w:spacing w:val="20"/>
                <w:sz w:val="17"/>
                <w:szCs w:val="17"/>
              </w:rPr>
              <w:t xml:space="preserve">Named solution</w:t>
            </w:r>
          </w:p>
        </w:tc>
        <w:tc>
          <w:tcPr>
            <w:tcW w:type="dxa" w:w="2016"/>
            <w:shd w:fill="F7F5F1" w:color="auto" w:val="clear"/>
            <w:tcMar>
              <w:top w:type="dxa" w:w="100"/>
              <w:left w:type="dxa" w:w="130"/>
              <w:bottom w:type="dxa" w:w="100"/>
              <w:right w:type="dxa" w:w="130"/>
            </w:tcMar>
          </w:tcPr>
          <w:p>
            <w:pPr>
              <w:spacing w:after="0"/>
            </w:pPr>
            <w:r>
              <w:rPr>
                <w:rFonts w:ascii="Arial" w:cs="Arial" w:eastAsia="Arial" w:hAnsi="Arial"/>
                <w:b/>
                <w:bCs/>
                <w:caps/>
                <w:color w:val="6B7280"/>
                <w:spacing w:val="20"/>
                <w:sz w:val="17"/>
                <w:szCs w:val="17"/>
              </w:rPr>
              <w:t xml:space="preserve">Cost to deliver</w:t>
            </w:r>
          </w:p>
        </w:tc>
        <w:tc>
          <w:tcPr>
            <w:tcW w:type="dxa" w:w="2016"/>
            <w:shd w:fill="F7F5F1" w:color="auto" w:val="clear"/>
            <w:tcMar>
              <w:top w:type="dxa" w:w="100"/>
              <w:left w:type="dxa" w:w="130"/>
              <w:bottom w:type="dxa" w:w="100"/>
              <w:right w:type="dxa" w:w="130"/>
            </w:tcMar>
          </w:tcPr>
          <w:p>
            <w:pPr>
              <w:spacing w:after="0"/>
            </w:pPr>
            <w:r>
              <w:rPr>
                <w:rFonts w:ascii="Arial" w:cs="Arial" w:eastAsia="Arial" w:hAnsi="Arial"/>
                <w:b/>
                <w:bCs/>
                <w:caps/>
                <w:color w:val="6B7280"/>
                <w:spacing w:val="20"/>
                <w:sz w:val="17"/>
                <w:szCs w:val="17"/>
              </w:rPr>
              <w:t xml:space="preserve">Keep or trim</w:t>
            </w:r>
          </w:p>
        </w:tc>
      </w:tr>
      <w:tr>
        <w:trPr>
          <w:tblHeader w:val="false"/>
        </w:trPr>
        <w:tc>
          <w:tcPr>
            <w:tcW w:type="dxa" w:w="3024"/>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Cannot tell what the printer actually costs per case</w:t>
            </w:r>
          </w:p>
        </w:tc>
        <w:tc>
          <w:tcPr>
            <w:tcW w:type="dxa" w:w="3024"/>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Per-case utilisation model built from their own numbers</w:t>
            </w:r>
          </w:p>
        </w:tc>
        <w:tc>
          <w:tcPr>
            <w:tcW w:type="dxa" w:w="2016"/>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Low</w:t>
            </w:r>
          </w:p>
        </w:tc>
        <w:tc>
          <w:tcPr>
            <w:tcW w:type="dxa" w:w="2016"/>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Keep</w:t>
            </w:r>
          </w:p>
        </w:tc>
      </w:tr>
      <w:tr>
        <w:trPr>
          <w:tblHeader w:val="false"/>
        </w:trPr>
        <w:tc>
          <w:tcPr>
            <w:tcW w:type="dxa" w:w="3024"/>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Schedule has no slot a same-day case fits into</w:t>
            </w:r>
          </w:p>
        </w:tc>
        <w:tc>
          <w:tcPr>
            <w:tcW w:type="dxa" w:w="3024"/>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Appointment redesign map</w:t>
            </w:r>
          </w:p>
        </w:tc>
        <w:tc>
          <w:tcPr>
            <w:tcW w:type="dxa" w:w="2016"/>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Medium</w:t>
            </w:r>
          </w:p>
        </w:tc>
        <w:tc>
          <w:tcPr>
            <w:tcW w:type="dxa" w:w="2016"/>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Keep</w:t>
            </w:r>
          </w:p>
        </w:tc>
      </w:tr>
      <w:tr>
        <w:trPr>
          <w:tblHeader w:val="false"/>
        </w:trPr>
        <w:tc>
          <w:tcPr>
            <w:tcW w:type="dxa" w:w="3024"/>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Staff learned the printer from a PDF</w:t>
            </w:r>
          </w:p>
        </w:tc>
        <w:tc>
          <w:tcPr>
            <w:tcW w:type="dxa" w:w="3024"/>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Two on-site training days with the assistants who will run it</w:t>
            </w:r>
          </w:p>
        </w:tc>
        <w:tc>
          <w:tcPr>
            <w:tcW w:type="dxa" w:w="2016"/>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Medium</w:t>
            </w:r>
          </w:p>
        </w:tc>
        <w:tc>
          <w:tcPr>
            <w:tcW w:type="dxa" w:w="2016"/>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Keep</w:t>
            </w:r>
          </w:p>
        </w:tc>
      </w:tr>
      <w:tr>
        <w:trPr>
          <w:tblHeader w:val="false"/>
        </w:trPr>
        <w:tc>
          <w:tcPr>
            <w:tcW w:type="dxa" w:w="3024"/>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Patients do not know same-day is an option</w:t>
            </w:r>
          </w:p>
        </w:tc>
        <w:tc>
          <w:tcPr>
            <w:tcW w:type="dxa" w:w="3024"/>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Chairside and front-desk scripts, plus patient-facing comms</w:t>
            </w:r>
          </w:p>
        </w:tc>
        <w:tc>
          <w:tcPr>
            <w:tcW w:type="dxa" w:w="2016"/>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Low</w:t>
            </w:r>
          </w:p>
        </w:tc>
        <w:tc>
          <w:tcPr>
            <w:tcW w:type="dxa" w:w="2016"/>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Keep</w:t>
            </w:r>
          </w:p>
        </w:tc>
      </w:tr>
      <w:tr>
        <w:trPr>
          <w:tblHeader w:val="false"/>
        </w:trPr>
        <w:tc>
          <w:tcPr>
            <w:tcW w:type="dxa" w:w="3024"/>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Lab relationship gets awkward</w:t>
            </w:r>
          </w:p>
        </w:tc>
        <w:tc>
          <w:tcPr>
            <w:tcW w:type="dxa" w:w="3024"/>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Lab transition conversation guide</w:t>
            </w:r>
          </w:p>
        </w:tc>
        <w:tc>
          <w:tcPr>
            <w:tcW w:type="dxa" w:w="2016"/>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Low</w:t>
            </w:r>
          </w:p>
        </w:tc>
        <w:tc>
          <w:tcPr>
            <w:tcW w:type="dxa" w:w="2016"/>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Keep</w:t>
            </w:r>
          </w:p>
        </w:tc>
      </w:tr>
      <w:tr>
        <w:trPr>
          <w:tblHeader w:val="false"/>
        </w:trPr>
        <w:tc>
          <w:tcPr>
            <w:tcW w:type="dxa" w:w="3024"/>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Wants a printed buyer's guide to materials</w:t>
            </w:r>
          </w:p>
        </w:tc>
        <w:tc>
          <w:tcPr>
            <w:tcW w:type="dxa" w:w="3024"/>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Materials comparison PDF</w:t>
            </w:r>
          </w:p>
        </w:tc>
        <w:tc>
          <w:tcPr>
            <w:tcW w:type="dxa" w:w="2016"/>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Low</w:t>
            </w:r>
          </w:p>
        </w:tc>
        <w:tc>
          <w:tcPr>
            <w:tcW w:type="dxa" w:w="2016"/>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Trim — low value, and clutter dilutes even when it is free</w:t>
            </w:r>
          </w:p>
        </w:tc>
      </w:tr>
    </w:tbl>
    <w:p>
      <w:pPr>
        <w:pStyle w:val="Heading3"/>
        <w:spacing w:after="100" w:before="280"/>
      </w:pPr>
      <w:r>
        <w:rPr>
          <w:rFonts w:ascii="Arial" w:cs="Arial" w:eastAsia="Arial" w:hAnsi="Arial"/>
          <w:b/>
          <w:bCs/>
          <w:color w:val="14181F"/>
          <w:sz w:val="23"/>
          <w:szCs w:val="23"/>
        </w:rPr>
        <w:t xml:space="preserve">Ladder</w:t>
      </w:r>
    </w:p>
    <w:tbl>
      <w:tblPr>
        <w:tblW w:type="dxa" w:w="10080"/>
        <w:tblBorders>
          <w:top w:val="single" w:color="D8D5CE" w:sz="4"/>
          <w:left w:val="single" w:color="D8D5CE" w:sz="4"/>
          <w:bottom w:val="single" w:color="D8D5CE" w:sz="4"/>
          <w:right w:val="single" w:color="D8D5CE" w:sz="4"/>
          <w:insideH w:val="single" w:color="D8D5CE" w:sz="4"/>
          <w:insideV w:val="single" w:color="D8D5CE" w:sz="4"/>
        </w:tblBorders>
      </w:tblPr>
      <w:tblGrid>
        <w:gridCol w:w="1833"/>
        <w:gridCol w:w="1833"/>
        <w:gridCol w:w="2749"/>
        <w:gridCol w:w="1833"/>
        <w:gridCol w:w="1833"/>
      </w:tblGrid>
      <w:tr>
        <w:trPr>
          <w:tblHeader/>
        </w:trPr>
        <w:tc>
          <w:tcPr>
            <w:tcW w:type="dxa" w:w="1833"/>
            <w:shd w:fill="F7F5F1" w:color="auto" w:val="clear"/>
            <w:tcMar>
              <w:top w:type="dxa" w:w="100"/>
              <w:left w:type="dxa" w:w="130"/>
              <w:bottom w:type="dxa" w:w="100"/>
              <w:right w:type="dxa" w:w="130"/>
            </w:tcMar>
          </w:tcPr>
          <w:p>
            <w:pPr>
              <w:spacing w:after="0"/>
            </w:pPr>
            <w:r>
              <w:rPr>
                <w:rFonts w:ascii="Arial" w:cs="Arial" w:eastAsia="Arial" w:hAnsi="Arial"/>
                <w:b/>
                <w:bCs/>
                <w:caps/>
                <w:color w:val="6B7280"/>
                <w:spacing w:val="20"/>
                <w:sz w:val="17"/>
                <w:szCs w:val="17"/>
              </w:rPr>
              <w:t xml:space="preserve">Rung</w:t>
            </w:r>
          </w:p>
        </w:tc>
        <w:tc>
          <w:tcPr>
            <w:tcW w:type="dxa" w:w="1833"/>
            <w:shd w:fill="F7F5F1" w:color="auto" w:val="clear"/>
            <w:tcMar>
              <w:top w:type="dxa" w:w="100"/>
              <w:left w:type="dxa" w:w="130"/>
              <w:bottom w:type="dxa" w:w="100"/>
              <w:right w:type="dxa" w:w="130"/>
            </w:tcMar>
          </w:tcPr>
          <w:p>
            <w:pPr>
              <w:spacing w:after="0"/>
            </w:pPr>
            <w:r>
              <w:rPr>
                <w:rFonts w:ascii="Arial" w:cs="Arial" w:eastAsia="Arial" w:hAnsi="Arial"/>
                <w:b/>
                <w:bCs/>
                <w:caps/>
                <w:color w:val="6B7280"/>
                <w:spacing w:val="20"/>
                <w:sz w:val="17"/>
                <w:szCs w:val="17"/>
              </w:rPr>
              <w:t xml:space="preserve">Price</w:t>
            </w:r>
          </w:p>
        </w:tc>
        <w:tc>
          <w:tcPr>
            <w:tcW w:type="dxa" w:w="2749"/>
            <w:shd w:fill="F7F5F1" w:color="auto" w:val="clear"/>
            <w:tcMar>
              <w:top w:type="dxa" w:w="100"/>
              <w:left w:type="dxa" w:w="130"/>
              <w:bottom w:type="dxa" w:w="100"/>
              <w:right w:type="dxa" w:w="130"/>
            </w:tcMar>
          </w:tcPr>
          <w:p>
            <w:pPr>
              <w:spacing w:after="0"/>
            </w:pPr>
            <w:r>
              <w:rPr>
                <w:rFonts w:ascii="Arial" w:cs="Arial" w:eastAsia="Arial" w:hAnsi="Arial"/>
                <w:b/>
                <w:bCs/>
                <w:caps/>
                <w:color w:val="6B7280"/>
                <w:spacing w:val="20"/>
                <w:sz w:val="17"/>
                <w:szCs w:val="17"/>
              </w:rPr>
              <w:t xml:space="preserve">Scope</w:t>
            </w:r>
          </w:p>
        </w:tc>
        <w:tc>
          <w:tcPr>
            <w:tcW w:type="dxa" w:w="1833"/>
            <w:shd w:fill="F7F5F1" w:color="auto" w:val="clear"/>
            <w:tcMar>
              <w:top w:type="dxa" w:w="100"/>
              <w:left w:type="dxa" w:w="130"/>
              <w:bottom w:type="dxa" w:w="100"/>
              <w:right w:type="dxa" w:w="130"/>
            </w:tcMar>
          </w:tcPr>
          <w:p>
            <w:pPr>
              <w:spacing w:after="0"/>
            </w:pPr>
            <w:r>
              <w:rPr>
                <w:rFonts w:ascii="Arial" w:cs="Arial" w:eastAsia="Arial" w:hAnsi="Arial"/>
                <w:b/>
                <w:bCs/>
                <w:caps/>
                <w:color w:val="6B7280"/>
                <w:spacing w:val="20"/>
                <w:sz w:val="17"/>
                <w:szCs w:val="17"/>
              </w:rPr>
              <w:t xml:space="preserve">First milestone</w:t>
            </w:r>
          </w:p>
        </w:tc>
        <w:tc>
          <w:tcPr>
            <w:tcW w:type="dxa" w:w="1833"/>
            <w:shd w:fill="F7F5F1" w:color="auto" w:val="clear"/>
            <w:tcMar>
              <w:top w:type="dxa" w:w="100"/>
              <w:left w:type="dxa" w:w="130"/>
              <w:bottom w:type="dxa" w:w="100"/>
              <w:right w:type="dxa" w:w="130"/>
            </w:tcMar>
          </w:tcPr>
          <w:p>
            <w:pPr>
              <w:spacing w:after="0"/>
            </w:pPr>
            <w:r>
              <w:rPr>
                <w:rFonts w:ascii="Arial" w:cs="Arial" w:eastAsia="Arial" w:hAnsi="Arial"/>
                <w:b/>
                <w:bCs/>
                <w:caps/>
                <w:color w:val="6B7280"/>
                <w:spacing w:val="20"/>
                <w:sz w:val="17"/>
                <w:szCs w:val="17"/>
              </w:rPr>
              <w:t xml:space="preserve">Threshold to ascend</w:t>
            </w:r>
          </w:p>
        </w:tc>
      </w:tr>
      <w:tr>
        <w:trPr>
          <w:tblHeader w:val="false"/>
        </w:trPr>
        <w:tc>
          <w:tcPr>
            <w:tcW w:type="dxa" w:w="1833"/>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Teaching session</w:t>
            </w:r>
          </w:p>
        </w:tc>
        <w:tc>
          <w:tcPr>
            <w:tcW w:type="dxa" w:w="1833"/>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Free</w:t>
            </w:r>
          </w:p>
        </w:tc>
        <w:tc>
          <w:tcPr>
            <w:tcW w:type="dxa" w:w="2749"/>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Forty minutes, monthly, on where chair time actually goes. Replay open.</w:t>
            </w:r>
          </w:p>
        </w:tc>
        <w:tc>
          <w:tcPr>
            <w:tcW w:type="dxa" w:w="1833"/>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w:t>
            </w:r>
          </w:p>
        </w:tc>
        <w:tc>
          <w:tcPr>
            <w:tcW w:type="dxa" w:w="1833"/>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Attended and asked a question</w:t>
            </w:r>
          </w:p>
        </w:tc>
      </w:tr>
      <w:tr>
        <w:trPr>
          <w:tblHeader w:val="false"/>
        </w:trPr>
        <w:tc>
          <w:tcPr>
            <w:tcW w:type="dxa" w:w="1833"/>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Chair-time audit</w:t>
            </w:r>
          </w:p>
        </w:tc>
        <w:tc>
          <w:tcPr>
            <w:tcW w:type="dxa" w:w="1833"/>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$7,500</w:t>
            </w:r>
          </w:p>
        </w:tc>
        <w:tc>
          <w:tcPr>
            <w:tcW w:type="dxa" w:w="2749"/>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Two weeks. Printer utilisation and appointment-flow audit against their own scheduling data.</w:t>
            </w:r>
          </w:p>
        </w:tc>
        <w:tc>
          <w:tcPr>
            <w:tcW w:type="dxa" w:w="1833"/>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Same-day case map delivered day 14</w:t>
            </w:r>
          </w:p>
        </w:tc>
        <w:tc>
          <w:tcPr>
            <w:tcW w:type="dxa" w:w="1833"/>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Audit finds over $4,000 a month of recoverable chair time</w:t>
            </w:r>
          </w:p>
        </w:tc>
      </w:tr>
      <w:tr>
        <w:trPr>
          <w:tblHeader w:val="false"/>
        </w:trPr>
        <w:tc>
          <w:tcPr>
            <w:tcW w:type="dxa" w:w="1833"/>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Implementation</w:t>
            </w:r>
          </w:p>
        </w:tc>
        <w:tc>
          <w:tcPr>
            <w:tcW w:type="dxa" w:w="1833"/>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$60,000</w:t>
            </w:r>
          </w:p>
        </w:tc>
        <w:tc>
          <w:tcPr>
            <w:tcW w:type="dxa" w:w="2749"/>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Ninety days. Workflow build, two training days, scheduling templates, patient comms.</w:t>
            </w:r>
          </w:p>
        </w:tc>
        <w:tc>
          <w:tcPr>
            <w:tcW w:type="dxa" w:w="1833"/>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First same-day case delivered by day 30</w:t>
            </w:r>
          </w:p>
        </w:tc>
        <w:tc>
          <w:tcPr>
            <w:tcW w:type="dxa" w:w="1833"/>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Two locations want it</w:t>
            </w:r>
          </w:p>
        </w:tc>
      </w:tr>
      <w:tr>
        <w:trPr>
          <w:tblHeader w:val="false"/>
        </w:trPr>
        <w:tc>
          <w:tcPr>
            <w:tcW w:type="dxa" w:w="1833"/>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Retainer</w:t>
            </w:r>
          </w:p>
        </w:tc>
        <w:tc>
          <w:tcPr>
            <w:tcW w:type="dxa" w:w="1833"/>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$15,000 / month</w:t>
            </w:r>
          </w:p>
        </w:tc>
        <w:tc>
          <w:tcPr>
            <w:tcW w:type="dxa" w:w="2749"/>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Demand generation for same-day cases, plus monthly utilisation reporting.</w:t>
            </w:r>
          </w:p>
        </w:tc>
        <w:tc>
          <w:tcPr>
            <w:tcW w:type="dxa" w:w="1833"/>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First month's report</w:t>
            </w:r>
          </w:p>
        </w:tc>
        <w:tc>
          <w:tcPr>
            <w:tcW w:type="dxa" w:w="1833"/>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Above ten locations</w:t>
            </w:r>
          </w:p>
        </w:tc>
      </w:tr>
      <w:tr>
        <w:trPr>
          <w:tblHeader w:val="false"/>
        </w:trPr>
        <w:tc>
          <w:tcPr>
            <w:tcW w:type="dxa" w:w="1833"/>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Advisory</w:t>
            </w:r>
          </w:p>
        </w:tc>
        <w:tc>
          <w:tcPr>
            <w:tcW w:type="dxa" w:w="1833"/>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$8,000 / month</w:t>
            </w:r>
          </w:p>
        </w:tc>
        <w:tc>
          <w:tcPr>
            <w:tcW w:type="dxa" w:w="2749"/>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Quarterly sessions with the DSO operations team.</w:t>
            </w:r>
          </w:p>
        </w:tc>
        <w:tc>
          <w:tcPr>
            <w:tcW w:type="dxa" w:w="1833"/>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First quarterly review</w:t>
            </w:r>
          </w:p>
        </w:tc>
        <w:tc>
          <w:tcPr>
            <w:tcW w:type="dxa" w:w="1833"/>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w:t>
            </w:r>
          </w:p>
        </w:tc>
      </w:tr>
    </w:tbl>
    <w:p>
      <w:pPr>
        <w:pStyle w:val="Heading3"/>
        <w:spacing w:after="100" w:before="280"/>
      </w:pPr>
      <w:r>
        <w:rPr>
          <w:rFonts w:ascii="Arial" w:cs="Arial" w:eastAsia="Arial" w:hAnsi="Arial"/>
          <w:b/>
          <w:bCs/>
          <w:color w:val="14181F"/>
          <w:sz w:val="23"/>
          <w:szCs w:val="23"/>
        </w:rPr>
        <w:t xml:space="preserve">Guarantee</w:t>
      </w:r>
    </w:p>
    <w:tbl>
      <w:tblPr>
        <w:tblW w:type="dxa" w:w="10080"/>
        <w:tblBorders>
          <w:top w:val="none"/>
          <w:left w:val="single" w:color="B8801F" w:sz="18"/>
          <w:bottom w:val="none"/>
          <w:right w:val="none"/>
          <w:insideH w:val="none"/>
          <w:insideV w:val="none"/>
        </w:tblBorders>
      </w:tblPr>
      <w:tblGrid>
        <w:gridCol w:w="10080"/>
      </w:tblGrid>
      <w:tr>
        <w:tc>
          <w:tcPr>
            <w:tcW w:type="dxa" w:w="10080"/>
            <w:shd w:fill="F7F5F1" w:color="auto" w:val="clear"/>
            <w:tcMar>
              <w:top w:type="dxa" w:w="140"/>
              <w:left w:type="dxa" w:w="180"/>
              <w:bottom w:type="dxa" w:w="140"/>
              <w:right w:type="dxa" w:w="160"/>
            </w:tcMar>
          </w:tcPr>
          <w:p>
            <w:pPr>
              <w:spacing w:after="0" w:before="0" w:line="276"/>
            </w:pPr>
            <w:r>
              <w:rPr>
                <w:rFonts w:ascii="Arial" w:cs="Arial" w:eastAsia="Arial" w:hAnsi="Arial"/>
                <w:color w:val="14181F"/>
                <w:sz w:val="19"/>
                <w:szCs w:val="19"/>
              </w:rPr>
              <w:t xml:space="preserve">If the audit does not identify at least $4,000 a month of recoverable chair time, you do not pay for it.</w:t>
            </w:r>
          </w:p>
        </w:tc>
      </w:tr>
    </w:tbl>
    <w:p>
      <w:pPr>
        <w:spacing w:after="120" w:before="0" w:line="276"/>
      </w:pPr>
      <w:r>
        <w:rPr>
          <w:rFonts w:ascii="Arial" w:cs="Arial" w:eastAsia="Arial" w:hAnsi="Arial"/>
          <w:color w:val="14181F"/>
          <w:sz w:val="20"/>
          <w:szCs w:val="20"/>
        </w:rPr>
        <w:t xml:space="preserve">It is conditional, the threshold is a number, and the client can check it themselves. It is also survivable: the audit costs us less to run than the deals it opens, and a practice where we genuinely cannot find $4,000 a month is a practice we should not have taken to the next rung anyway.</w:t>
      </w:r>
    </w:p>
    <w:p>
      <w:pPr>
        <w:spacing w:after="120"/>
      </w:pPr>
      <w:r>
        <w:rPr>
          <w:rFonts w:ascii="Arial" w:cs="Arial" w:eastAsia="Arial" w:hAnsi="Arial"/>
          <w:sz w:val="16"/>
          <w:szCs w:val="16"/>
        </w:rPr>
        <w:t xml:space="preserve"/>
      </w:r>
    </w:p>
    <w:p>
      <w:pPr>
        <w:spacing w:after="120" w:before="0" w:line="276"/>
      </w:pPr>
      <w:r>
        <w:rPr>
          <w:rFonts w:ascii="Arial" w:cs="Arial" w:eastAsia="Arial" w:hAnsi="Arial"/>
          <w:color w:val="6B7280"/>
          <w:sz w:val="20"/>
          <w:szCs w:val="20"/>
        </w:rPr>
        <w:t xml:space="preserve">Notice what is absent. No countdown, no bonus stack, no invented valuations, and no claim about what anyone will earn. The offer is strong because the guarantee is specific and the first milestone has a date on it.</w:t>
      </w:r>
    </w:p>
    <w:p>
      <w:r>
        <w:br w:type="page"/>
      </w:r>
    </w:p>
    <w:p>
      <w:pPr>
        <w:pStyle w:val="Heading2"/>
        <w:pBdr>
          <w:bottom w:val="single" w:color="B8801F" w:sz="6" w:space="8"/>
        </w:pBdr>
        <w:spacing w:after="140" w:before="400"/>
      </w:pPr>
      <w:r>
        <w:rPr>
          <w:rFonts w:ascii="Arial" w:cs="Arial" w:eastAsia="Arial" w:hAnsi="Arial"/>
          <w:b/>
          <w:bCs/>
          <w:color w:val="B8801F"/>
          <w:sz w:val="20"/>
          <w:szCs w:val="20"/>
        </w:rPr>
        <w:t xml:space="preserve">Worksheet 1  </w:t>
      </w:r>
      <w:r>
        <w:rPr>
          <w:rFonts w:ascii="Arial" w:cs="Arial" w:eastAsia="Arial" w:hAnsi="Arial"/>
          <w:b/>
          <w:bCs/>
          <w:color w:val="14181F"/>
          <w:sz w:val="28"/>
          <w:szCs w:val="28"/>
        </w:rPr>
        <w:t xml:space="preserve">Offer architecture</w:t>
      </w:r>
    </w:p>
    <w:p>
      <w:pPr>
        <w:spacing w:after="120" w:before="0" w:line="276"/>
      </w:pPr>
      <w:r>
        <w:rPr>
          <w:rFonts w:ascii="Arial" w:cs="Arial" w:eastAsia="Arial" w:hAnsi="Arial"/>
          <w:color w:val="6B7280"/>
          <w:sz w:val="20"/>
          <w:szCs w:val="20"/>
        </w:rPr>
        <w:t xml:space="preserve">Stages: Crowd, Claim, Ladder. Use it on our own offer, and use it on a client's. Most of the time it will be a client's: the same four questions that build our ladder are the ones we should be asking in the first week of any engagement where the offer is the thing that is broken.</w:t>
      </w:r>
    </w:p>
    <w:p>
      <w:pPr>
        <w:spacing w:after="200" w:before="0" w:line="276"/>
      </w:pPr>
      <w:r>
        <w:rPr>
          <w:rFonts w:ascii="Arial" w:cs="Arial" w:eastAsia="Arial" w:hAnsi="Arial"/>
          <w:color w:val="6B7280"/>
          <w:sz w:val="20"/>
          <w:szCs w:val="20"/>
        </w:rPr>
        <w:t xml:space="preserve">Budget half a day with the account lead and whoever will deliver the work. Do not skip to the ladder. A ladder built before the claim is a rate card with headings.</w:t>
      </w:r>
    </w:p>
    <w:p>
      <w:pPr>
        <w:pStyle w:val="Heading3"/>
        <w:spacing w:after="100" w:before="280"/>
      </w:pPr>
      <w:r>
        <w:rPr>
          <w:rFonts w:ascii="Arial" w:cs="Arial" w:eastAsia="Arial" w:hAnsi="Arial"/>
          <w:b/>
          <w:bCs/>
          <w:color w:val="14181F"/>
          <w:sz w:val="23"/>
          <w:szCs w:val="23"/>
        </w:rPr>
        <w:t xml:space="preserve">1.1  Name the crowd</w:t>
      </w:r>
    </w:p>
    <w:p>
      <w:pPr>
        <w:spacing w:after="120" w:before="0" w:line="276"/>
      </w:pPr>
      <w:r>
        <w:rPr>
          <w:rFonts w:ascii="Arial" w:cs="Arial" w:eastAsia="Arial" w:hAnsi="Arial"/>
          <w:color w:val="14181F"/>
          <w:sz w:val="21"/>
          <w:szCs w:val="21"/>
        </w:rPr>
        <w:t xml:space="preserve">Hormozi's four tests, applied to a buying committee. A segment passes only if all four are yes.</w:t>
      </w:r>
    </w:p>
    <w:tbl>
      <w:tblPr>
        <w:tblW w:type="dxa" w:w="10080"/>
        <w:tblBorders>
          <w:top w:val="single" w:color="D8D5CE" w:sz="4"/>
          <w:left w:val="single" w:color="D8D5CE" w:sz="4"/>
          <w:bottom w:val="single" w:color="D8D5CE" w:sz="4"/>
          <w:right w:val="single" w:color="D8D5CE" w:sz="4"/>
          <w:insideH w:val="single" w:color="D8D5CE" w:sz="4"/>
          <w:insideV w:val="single" w:color="D8D5CE" w:sz="4"/>
        </w:tblBorders>
      </w:tblPr>
      <w:tblGrid>
        <w:gridCol w:w="3360"/>
        <w:gridCol w:w="4480"/>
        <w:gridCol w:w="2240"/>
      </w:tblGrid>
      <w:tr>
        <w:trPr>
          <w:tblHeader/>
        </w:trPr>
        <w:tc>
          <w:tcPr>
            <w:tcW w:type="dxa" w:w="3360"/>
            <w:shd w:fill="F7F5F1" w:color="auto" w:val="clear"/>
            <w:tcMar>
              <w:top w:type="dxa" w:w="100"/>
              <w:left w:type="dxa" w:w="130"/>
              <w:bottom w:type="dxa" w:w="100"/>
              <w:right w:type="dxa" w:w="130"/>
            </w:tcMar>
          </w:tcPr>
          <w:p>
            <w:pPr>
              <w:spacing w:after="0"/>
            </w:pPr>
            <w:r>
              <w:rPr>
                <w:rFonts w:ascii="Arial" w:cs="Arial" w:eastAsia="Arial" w:hAnsi="Arial"/>
                <w:b/>
                <w:bCs/>
                <w:caps/>
                <w:color w:val="6B7280"/>
                <w:spacing w:val="20"/>
                <w:sz w:val="17"/>
                <w:szCs w:val="17"/>
              </w:rPr>
              <w:t xml:space="preserve">Test</w:t>
            </w:r>
          </w:p>
        </w:tc>
        <w:tc>
          <w:tcPr>
            <w:tcW w:type="dxa" w:w="4480"/>
            <w:shd w:fill="F7F5F1" w:color="auto" w:val="clear"/>
            <w:tcMar>
              <w:top w:type="dxa" w:w="100"/>
              <w:left w:type="dxa" w:w="130"/>
              <w:bottom w:type="dxa" w:w="100"/>
              <w:right w:type="dxa" w:w="130"/>
            </w:tcMar>
          </w:tcPr>
          <w:p>
            <w:pPr>
              <w:spacing w:after="0"/>
            </w:pPr>
            <w:r>
              <w:rPr>
                <w:rFonts w:ascii="Arial" w:cs="Arial" w:eastAsia="Arial" w:hAnsi="Arial"/>
                <w:b/>
                <w:bCs/>
                <w:caps/>
                <w:color w:val="6B7280"/>
                <w:spacing w:val="20"/>
                <w:sz w:val="17"/>
                <w:szCs w:val="17"/>
              </w:rPr>
              <w:t xml:space="preserve">What it means here</w:t>
            </w:r>
          </w:p>
        </w:tc>
        <w:tc>
          <w:tcPr>
            <w:tcW w:type="dxa" w:w="2240"/>
            <w:shd w:fill="F7F5F1" w:color="auto" w:val="clear"/>
            <w:tcMar>
              <w:top w:type="dxa" w:w="100"/>
              <w:left w:type="dxa" w:w="130"/>
              <w:bottom w:type="dxa" w:w="100"/>
              <w:right w:type="dxa" w:w="130"/>
            </w:tcMar>
          </w:tcPr>
          <w:p>
            <w:pPr>
              <w:spacing w:after="0"/>
            </w:pPr>
            <w:r>
              <w:rPr>
                <w:rFonts w:ascii="Arial" w:cs="Arial" w:eastAsia="Arial" w:hAnsi="Arial"/>
                <w:b/>
                <w:bCs/>
                <w:caps/>
                <w:color w:val="6B7280"/>
                <w:spacing w:val="20"/>
                <w:sz w:val="17"/>
                <w:szCs w:val="17"/>
              </w:rPr>
              <w:t xml:space="preserve">Pass?</w:t>
            </w:r>
          </w:p>
        </w:tc>
      </w:tr>
      <w:tr>
        <w:trPr>
          <w:tblHeader w:val="false"/>
        </w:trPr>
        <w:tc>
          <w:tcPr>
            <w:tcW w:type="dxa" w:w="3360"/>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Real pain</w:t>
            </w:r>
          </w:p>
        </w:tc>
        <w:tc>
          <w:tcPr>
            <w:tcW w:type="dxa" w:w="4480"/>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The problem costs them measurable money or risk this quarter, not someday.</w:t>
            </w:r>
          </w:p>
        </w:tc>
        <w:tc>
          <w:tcPr>
            <w:tcW w:type="dxa" w:w="2240"/>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
            </w:r>
          </w:p>
        </w:tc>
      </w:tr>
      <w:tr>
        <w:trPr>
          <w:tblHeader w:val="false"/>
        </w:trPr>
        <w:tc>
          <w:tcPr>
            <w:tcW w:type="dxa" w:w="3360"/>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Purchasing power</w:t>
            </w:r>
          </w:p>
        </w:tc>
        <w:tc>
          <w:tcPr>
            <w:tcW w:type="dxa" w:w="4480"/>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Someone in the segment can approve our entry price without a new budget cycle.</w:t>
            </w:r>
          </w:p>
        </w:tc>
        <w:tc>
          <w:tcPr>
            <w:tcW w:type="dxa" w:w="2240"/>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
            </w:r>
          </w:p>
        </w:tc>
      </w:tr>
      <w:tr>
        <w:trPr>
          <w:tblHeader w:val="false"/>
        </w:trPr>
        <w:tc>
          <w:tcPr>
            <w:tcW w:type="dxa" w:w="3360"/>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Reachable</w:t>
            </w:r>
          </w:p>
        </w:tc>
        <w:tc>
          <w:tcPr>
            <w:tcW w:type="dxa" w:w="4480"/>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We can name five specific places they already gather: an association, a conference, a publication, a LinkedIn community, a vendor's user group.</w:t>
            </w:r>
          </w:p>
        </w:tc>
        <w:tc>
          <w:tcPr>
            <w:tcW w:type="dxa" w:w="2240"/>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
            </w:r>
          </w:p>
        </w:tc>
      </w:tr>
      <w:tr>
        <w:trPr>
          <w:tblHeader w:val="false"/>
        </w:trPr>
        <w:tc>
          <w:tcPr>
            <w:tcW w:type="dxa" w:w="3360"/>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Growing</w:t>
            </w:r>
          </w:p>
        </w:tc>
        <w:tc>
          <w:tcPr>
            <w:tcW w:type="dxa" w:w="4480"/>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The segment is expanding, or its problem is.</w:t>
            </w:r>
          </w:p>
        </w:tc>
        <w:tc>
          <w:tcPr>
            <w:tcW w:type="dxa" w:w="2240"/>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
            </w:r>
          </w:p>
        </w:tc>
      </w:tr>
    </w:tbl>
    <w:p>
      <w:pPr>
        <w:spacing w:after="40" w:before="140"/>
      </w:pPr>
      <w:r>
        <w:rPr>
          <w:rFonts w:ascii="Arial" w:cs="Arial" w:eastAsia="Arial" w:hAnsi="Arial"/>
          <w:b/>
          <w:bCs/>
          <w:caps/>
          <w:color w:val="6B7280"/>
          <w:spacing w:val="20"/>
          <w:sz w:val="18"/>
          <w:szCs w:val="18"/>
        </w:rPr>
        <w:t xml:space="preserve">Segment, stated narrowly enough that an outsider could build the list</w:t>
      </w:r>
    </w:p>
    <w:p>
      <w:pPr>
        <w:pBdr>
          <w:bottom w:val="single" w:color="D8D5CE" w:sz="4" w:space="8"/>
        </w:pBdr>
        <w:spacing w:after="60"/>
      </w:pPr>
      <w:r>
        <w:rPr>
          <w:rFonts w:ascii="Arial" w:cs="Arial" w:eastAsia="Arial" w:hAnsi="Arial"/>
          <w:sz w:val="21"/>
          <w:szCs w:val="21"/>
        </w:rPr>
        <w:t xml:space="preserve"> </w:t>
      </w:r>
    </w:p>
    <w:p>
      <w:pPr>
        <w:pBdr>
          <w:bottom w:val="single" w:color="D8D5CE" w:sz="4" w:space="8"/>
        </w:pBdr>
        <w:spacing w:after="100"/>
      </w:pPr>
      <w:r>
        <w:rPr>
          <w:rFonts w:ascii="Arial" w:cs="Arial" w:eastAsia="Arial" w:hAnsi="Arial"/>
          <w:sz w:val="21"/>
          <w:szCs w:val="21"/>
        </w:rPr>
        <w:t xml:space="preserve"> </w:t>
      </w:r>
    </w:p>
    <w:p>
      <w:pPr>
        <w:spacing w:after="40" w:before="140"/>
      </w:pPr>
      <w:r>
        <w:rPr>
          <w:rFonts w:ascii="Arial" w:cs="Arial" w:eastAsia="Arial" w:hAnsi="Arial"/>
          <w:b/>
          <w:bCs/>
          <w:caps/>
          <w:color w:val="6B7280"/>
          <w:spacing w:val="20"/>
          <w:sz w:val="18"/>
          <w:szCs w:val="18"/>
        </w:rPr>
        <w:t xml:space="preserve">The five places they already gather</w:t>
      </w:r>
    </w:p>
    <w:p>
      <w:pPr>
        <w:pBdr>
          <w:bottom w:val="single" w:color="D8D5CE" w:sz="4" w:space="8"/>
        </w:pBdr>
        <w:spacing w:after="60"/>
      </w:pPr>
      <w:r>
        <w:rPr>
          <w:rFonts w:ascii="Arial" w:cs="Arial" w:eastAsia="Arial" w:hAnsi="Arial"/>
          <w:sz w:val="21"/>
          <w:szCs w:val="21"/>
        </w:rPr>
        <w:t xml:space="preserve"> </w:t>
      </w:r>
    </w:p>
    <w:p>
      <w:pPr>
        <w:pBdr>
          <w:bottom w:val="single" w:color="D8D5CE" w:sz="4" w:space="8"/>
        </w:pBdr>
        <w:spacing w:after="60"/>
      </w:pPr>
      <w:r>
        <w:rPr>
          <w:rFonts w:ascii="Arial" w:cs="Arial" w:eastAsia="Arial" w:hAnsi="Arial"/>
          <w:sz w:val="21"/>
          <w:szCs w:val="21"/>
        </w:rPr>
        <w:t xml:space="preserve"> </w:t>
      </w:r>
    </w:p>
    <w:p>
      <w:pPr>
        <w:pBdr>
          <w:bottom w:val="single" w:color="D8D5CE" w:sz="4" w:space="8"/>
        </w:pBdr>
        <w:spacing w:after="100"/>
      </w:pPr>
      <w:r>
        <w:rPr>
          <w:rFonts w:ascii="Arial" w:cs="Arial" w:eastAsia="Arial" w:hAnsi="Arial"/>
          <w:sz w:val="21"/>
          <w:szCs w:val="21"/>
        </w:rPr>
        <w:t xml:space="preserve"> </w:t>
      </w:r>
    </w:p>
    <w:tbl>
      <w:tblPr>
        <w:tblW w:type="dxa" w:w="10080"/>
        <w:tblBorders>
          <w:top w:val="none"/>
          <w:left w:val="single" w:color="B8801F" w:sz="18"/>
          <w:bottom w:val="none"/>
          <w:right w:val="none"/>
          <w:insideH w:val="none"/>
          <w:insideV w:val="none"/>
        </w:tblBorders>
      </w:tblPr>
      <w:tblGrid>
        <w:gridCol w:w="10080"/>
      </w:tblGrid>
      <w:tr>
        <w:tc>
          <w:tcPr>
            <w:tcW w:type="dxa" w:w="10080"/>
            <w:shd w:fill="F7F5F1" w:color="auto" w:val="clear"/>
            <w:tcMar>
              <w:top w:type="dxa" w:w="140"/>
              <w:left w:type="dxa" w:w="180"/>
              <w:bottom w:type="dxa" w:w="140"/>
              <w:right w:type="dxa" w:w="160"/>
            </w:tcMar>
          </w:tcPr>
          <w:p>
            <w:pPr>
              <w:spacing w:after="0" w:before="0" w:line="276"/>
            </w:pPr>
            <w:r>
              <w:rPr>
                <w:rFonts w:ascii="Arial" w:cs="Arial" w:eastAsia="Arial" w:hAnsi="Arial"/>
                <w:color w:val="14181F"/>
                <w:sz w:val="19"/>
                <w:szCs w:val="19"/>
              </w:rPr>
              <w:t xml:space="preserve">Test for narrowness: if you cannot build a list of 200 named companies from the definition, it is a category and not a crowd. Narrowing raises what we can charge, because a method aimed at one industry's actual workflow is a different product from the same method aimed at everyone.</w:t>
            </w:r>
          </w:p>
        </w:tc>
      </w:tr>
    </w:tbl>
    <w:p>
      <w:pPr>
        <w:pStyle w:val="Heading3"/>
        <w:spacing w:after="100" w:before="280"/>
      </w:pPr>
      <w:r>
        <w:rPr>
          <w:rFonts w:ascii="Arial" w:cs="Arial" w:eastAsia="Arial" w:hAnsi="Arial"/>
          <w:b/>
          <w:bCs/>
          <w:color w:val="14181F"/>
          <w:sz w:val="23"/>
          <w:szCs w:val="23"/>
        </w:rPr>
        <w:t xml:space="preserve">1.2  Map the buying committee</w:t>
      </w:r>
    </w:p>
    <w:p>
      <w:pPr>
        <w:spacing w:after="120" w:before="0" w:line="276"/>
      </w:pPr>
      <w:r>
        <w:rPr>
          <w:rFonts w:ascii="Arial" w:cs="Arial" w:eastAsia="Arial" w:hAnsi="Arial"/>
          <w:color w:val="14181F"/>
          <w:sz w:val="21"/>
          <w:szCs w:val="21"/>
        </w:rPr>
        <w:t xml:space="preserve">The single largest difference between this playbook's consumer origin and our use of it. A consumer decides alone. Our buyer does not.</w:t>
      </w:r>
    </w:p>
    <w:tbl>
      <w:tblPr>
        <w:tblW w:type="dxa" w:w="10080"/>
        <w:tblBorders>
          <w:top w:val="single" w:color="D8D5CE" w:sz="4"/>
          <w:left w:val="single" w:color="D8D5CE" w:sz="4"/>
          <w:bottom w:val="single" w:color="D8D5CE" w:sz="4"/>
          <w:right w:val="single" w:color="D8D5CE" w:sz="4"/>
          <w:insideH w:val="single" w:color="D8D5CE" w:sz="4"/>
          <w:insideV w:val="single" w:color="D8D5CE" w:sz="4"/>
        </w:tblBorders>
      </w:tblPr>
      <w:tblGrid>
        <w:gridCol w:w="2016"/>
        <w:gridCol w:w="3024"/>
        <w:gridCol w:w="3024"/>
        <w:gridCol w:w="2016"/>
      </w:tblGrid>
      <w:tr>
        <w:trPr>
          <w:tblHeader/>
        </w:trPr>
        <w:tc>
          <w:tcPr>
            <w:tcW w:type="dxa" w:w="2016"/>
            <w:shd w:fill="F7F5F1" w:color="auto" w:val="clear"/>
            <w:tcMar>
              <w:top w:type="dxa" w:w="100"/>
              <w:left w:type="dxa" w:w="130"/>
              <w:bottom w:type="dxa" w:w="100"/>
              <w:right w:type="dxa" w:w="130"/>
            </w:tcMar>
          </w:tcPr>
          <w:p>
            <w:pPr>
              <w:spacing w:after="0"/>
            </w:pPr>
            <w:r>
              <w:rPr>
                <w:rFonts w:ascii="Arial" w:cs="Arial" w:eastAsia="Arial" w:hAnsi="Arial"/>
                <w:b/>
                <w:bCs/>
                <w:caps/>
                <w:color w:val="6B7280"/>
                <w:spacing w:val="20"/>
                <w:sz w:val="17"/>
                <w:szCs w:val="17"/>
              </w:rPr>
              <w:t xml:space="preserve">Role</w:t>
            </w:r>
          </w:p>
        </w:tc>
        <w:tc>
          <w:tcPr>
            <w:tcW w:type="dxa" w:w="3024"/>
            <w:shd w:fill="F7F5F1" w:color="auto" w:val="clear"/>
            <w:tcMar>
              <w:top w:type="dxa" w:w="100"/>
              <w:left w:type="dxa" w:w="130"/>
              <w:bottom w:type="dxa" w:w="100"/>
              <w:right w:type="dxa" w:w="130"/>
            </w:tcMar>
          </w:tcPr>
          <w:p>
            <w:pPr>
              <w:spacing w:after="0"/>
            </w:pPr>
            <w:r>
              <w:rPr>
                <w:rFonts w:ascii="Arial" w:cs="Arial" w:eastAsia="Arial" w:hAnsi="Arial"/>
                <w:b/>
                <w:bCs/>
                <w:caps/>
                <w:color w:val="6B7280"/>
                <w:spacing w:val="20"/>
                <w:sz w:val="17"/>
                <w:szCs w:val="17"/>
              </w:rPr>
              <w:t xml:space="preserve">Who, by title</w:t>
            </w:r>
          </w:p>
        </w:tc>
        <w:tc>
          <w:tcPr>
            <w:tcW w:type="dxa" w:w="3024"/>
            <w:shd w:fill="F7F5F1" w:color="auto" w:val="clear"/>
            <w:tcMar>
              <w:top w:type="dxa" w:w="100"/>
              <w:left w:type="dxa" w:w="130"/>
              <w:bottom w:type="dxa" w:w="100"/>
              <w:right w:type="dxa" w:w="130"/>
            </w:tcMar>
          </w:tcPr>
          <w:p>
            <w:pPr>
              <w:spacing w:after="0"/>
            </w:pPr>
            <w:r>
              <w:rPr>
                <w:rFonts w:ascii="Arial" w:cs="Arial" w:eastAsia="Arial" w:hAnsi="Arial"/>
                <w:b/>
                <w:bCs/>
                <w:caps/>
                <w:color w:val="6B7280"/>
                <w:spacing w:val="20"/>
                <w:sz w:val="17"/>
                <w:szCs w:val="17"/>
              </w:rPr>
              <w:t xml:space="preserve">What they need to believe</w:t>
            </w:r>
          </w:p>
        </w:tc>
        <w:tc>
          <w:tcPr>
            <w:tcW w:type="dxa" w:w="2016"/>
            <w:shd w:fill="F7F5F1" w:color="auto" w:val="clear"/>
            <w:tcMar>
              <w:top w:type="dxa" w:w="100"/>
              <w:left w:type="dxa" w:w="130"/>
              <w:bottom w:type="dxa" w:w="100"/>
              <w:right w:type="dxa" w:w="130"/>
            </w:tcMar>
          </w:tcPr>
          <w:p>
            <w:pPr>
              <w:spacing w:after="0"/>
            </w:pPr>
            <w:r>
              <w:rPr>
                <w:rFonts w:ascii="Arial" w:cs="Arial" w:eastAsia="Arial" w:hAnsi="Arial"/>
                <w:b/>
                <w:bCs/>
                <w:caps/>
                <w:color w:val="6B7280"/>
                <w:spacing w:val="20"/>
                <w:sz w:val="17"/>
                <w:szCs w:val="17"/>
              </w:rPr>
              <w:t xml:space="preserve">Where they hear us</w:t>
            </w:r>
          </w:p>
        </w:tc>
      </w:tr>
      <w:tr>
        <w:trPr>
          <w:tblHeader w:val="false"/>
        </w:trPr>
        <w:tc>
          <w:tcPr>
            <w:tcW w:type="dxa" w:w="2016"/>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Economic buyer</w:t>
            </w:r>
          </w:p>
        </w:tc>
        <w:tc>
          <w:tcPr>
            <w:tcW w:type="dxa" w:w="3024"/>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
            </w:r>
          </w:p>
        </w:tc>
        <w:tc>
          <w:tcPr>
            <w:tcW w:type="dxa" w:w="3024"/>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
            </w:r>
          </w:p>
        </w:tc>
        <w:tc>
          <w:tcPr>
            <w:tcW w:type="dxa" w:w="2016"/>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
            </w:r>
          </w:p>
        </w:tc>
      </w:tr>
      <w:tr>
        <w:trPr>
          <w:tblHeader w:val="false"/>
        </w:trPr>
        <w:tc>
          <w:tcPr>
            <w:tcW w:type="dxa" w:w="2016"/>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Champion</w:t>
            </w:r>
          </w:p>
        </w:tc>
        <w:tc>
          <w:tcPr>
            <w:tcW w:type="dxa" w:w="3024"/>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
            </w:r>
          </w:p>
        </w:tc>
        <w:tc>
          <w:tcPr>
            <w:tcW w:type="dxa" w:w="3024"/>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
            </w:r>
          </w:p>
        </w:tc>
        <w:tc>
          <w:tcPr>
            <w:tcW w:type="dxa" w:w="2016"/>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
            </w:r>
          </w:p>
        </w:tc>
      </w:tr>
      <w:tr>
        <w:trPr>
          <w:tblHeader w:val="false"/>
        </w:trPr>
        <w:tc>
          <w:tcPr>
            <w:tcW w:type="dxa" w:w="2016"/>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Technical evaluator</w:t>
            </w:r>
          </w:p>
        </w:tc>
        <w:tc>
          <w:tcPr>
            <w:tcW w:type="dxa" w:w="3024"/>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
            </w:r>
          </w:p>
        </w:tc>
        <w:tc>
          <w:tcPr>
            <w:tcW w:type="dxa" w:w="3024"/>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
            </w:r>
          </w:p>
        </w:tc>
        <w:tc>
          <w:tcPr>
            <w:tcW w:type="dxa" w:w="2016"/>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
            </w:r>
          </w:p>
        </w:tc>
      </w:tr>
      <w:tr>
        <w:trPr>
          <w:tblHeader w:val="false"/>
        </w:trPr>
        <w:tc>
          <w:tcPr>
            <w:tcW w:type="dxa" w:w="2016"/>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Blocker</w:t>
            </w:r>
          </w:p>
        </w:tc>
        <w:tc>
          <w:tcPr>
            <w:tcW w:type="dxa" w:w="3024"/>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
            </w:r>
          </w:p>
        </w:tc>
        <w:tc>
          <w:tcPr>
            <w:tcW w:type="dxa" w:w="3024"/>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
            </w:r>
          </w:p>
        </w:tc>
        <w:tc>
          <w:tcPr>
            <w:tcW w:type="dxa" w:w="2016"/>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
            </w:r>
          </w:p>
        </w:tc>
      </w:tr>
      <w:tr>
        <w:trPr>
          <w:tblHeader w:val="false"/>
        </w:trPr>
        <w:tc>
          <w:tcPr>
            <w:tcW w:type="dxa" w:w="2016"/>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End user</w:t>
            </w:r>
          </w:p>
        </w:tc>
        <w:tc>
          <w:tcPr>
            <w:tcW w:type="dxa" w:w="3024"/>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
            </w:r>
          </w:p>
        </w:tc>
        <w:tc>
          <w:tcPr>
            <w:tcW w:type="dxa" w:w="3024"/>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
            </w:r>
          </w:p>
        </w:tc>
        <w:tc>
          <w:tcPr>
            <w:tcW w:type="dxa" w:w="2016"/>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
            </w:r>
          </w:p>
        </w:tc>
      </w:tr>
    </w:tbl>
    <w:p>
      <w:pPr>
        <w:spacing w:after="120"/>
      </w:pPr>
      <w:r>
        <w:rPr>
          <w:rFonts w:ascii="Arial" w:cs="Arial" w:eastAsia="Arial" w:hAnsi="Arial"/>
          <w:sz w:val="16"/>
          <w:szCs w:val="16"/>
        </w:rPr>
        <w:t xml:space="preserve"/>
      </w:r>
    </w:p>
    <w:p>
      <w:pPr>
        <w:spacing w:after="120" w:before="0" w:line="276"/>
      </w:pPr>
      <w:r>
        <w:rPr>
          <w:rFonts w:ascii="Arial" w:cs="Arial" w:eastAsia="Arial" w:hAnsi="Arial"/>
          <w:color w:val="6B7280"/>
          <w:sz w:val="20"/>
          <w:szCs w:val="20"/>
        </w:rPr>
        <w:t xml:space="preserve">The session in worksheet 2 is written for the champion. The follow-up assets in worksheet 3 are written for the economic buyer and the blocker, because the champion has to forward something.</w:t>
      </w:r>
    </w:p>
    <w:p>
      <w:pPr>
        <w:pStyle w:val="Heading3"/>
        <w:spacing w:after="100" w:before="280"/>
      </w:pPr>
      <w:r>
        <w:rPr>
          <w:rFonts w:ascii="Arial" w:cs="Arial" w:eastAsia="Arial" w:hAnsi="Arial"/>
          <w:b/>
          <w:bCs/>
          <w:color w:val="14181F"/>
          <w:sz w:val="23"/>
          <w:szCs w:val="23"/>
        </w:rPr>
        <w:t xml:space="preserve">1.3  Write the claim</w:t>
      </w:r>
    </w:p>
    <w:p>
      <w:pPr>
        <w:spacing w:after="120" w:before="0" w:line="276"/>
      </w:pPr>
      <w:r>
        <w:rPr>
          <w:rFonts w:ascii="Arial" w:cs="Arial" w:eastAsia="Arial" w:hAnsi="Arial"/>
          <w:color w:val="14181F"/>
          <w:sz w:val="21"/>
          <w:szCs w:val="21"/>
        </w:rPr>
        <w:t xml:space="preserve">One sentence that, if the buyer accepts it, makes their other objections irrelevant. Brunson calls this the big domino. We hold it to an evidence standard he does not.</w:t>
      </w:r>
    </w:p>
    <w:p>
      <w:pPr>
        <w:spacing w:after="40" w:before="140"/>
      </w:pPr>
      <w:r>
        <w:rPr>
          <w:rFonts w:ascii="Arial" w:cs="Arial" w:eastAsia="Arial" w:hAnsi="Arial"/>
          <w:b/>
          <w:bCs/>
          <w:caps/>
          <w:color w:val="6B7280"/>
          <w:spacing w:val="20"/>
          <w:sz w:val="18"/>
          <w:szCs w:val="18"/>
        </w:rPr>
        <w:t xml:space="preserve">The claim, in one sentence, in the form: the only way to [result they want] is [our vehicle]</w:t>
      </w:r>
    </w:p>
    <w:p>
      <w:pPr>
        <w:pBdr>
          <w:bottom w:val="single" w:color="D8D5CE" w:sz="4" w:space="8"/>
        </w:pBdr>
        <w:spacing w:after="60"/>
      </w:pPr>
      <w:r>
        <w:rPr>
          <w:rFonts w:ascii="Arial" w:cs="Arial" w:eastAsia="Arial" w:hAnsi="Arial"/>
          <w:sz w:val="21"/>
          <w:szCs w:val="21"/>
        </w:rPr>
        <w:t xml:space="preserve"> </w:t>
      </w:r>
    </w:p>
    <w:p>
      <w:pPr>
        <w:pBdr>
          <w:bottom w:val="single" w:color="D8D5CE" w:sz="4" w:space="8"/>
        </w:pBdr>
        <w:spacing w:after="100"/>
      </w:pPr>
      <w:r>
        <w:rPr>
          <w:rFonts w:ascii="Arial" w:cs="Arial" w:eastAsia="Arial" w:hAnsi="Arial"/>
          <w:sz w:val="21"/>
          <w:szCs w:val="21"/>
        </w:rPr>
        <w:t xml:space="preserve"> </w:t>
      </w:r>
    </w:p>
    <w:p>
      <w:pPr>
        <w:spacing w:after="120"/>
      </w:pPr>
      <w:r>
        <w:rPr>
          <w:rFonts w:ascii="Arial" w:cs="Arial" w:eastAsia="Arial" w:hAnsi="Arial"/>
          <w:sz w:val="16"/>
          <w:szCs w:val="16"/>
        </w:rPr>
        <w:t xml:space="preserve"/>
      </w:r>
    </w:p>
    <w:p>
      <w:pPr>
        <w:spacing w:after="120" w:before="0" w:line="276"/>
      </w:pPr>
      <w:r>
        <w:rPr>
          <w:rFonts w:ascii="Arial" w:cs="Arial" w:eastAsia="Arial" w:hAnsi="Arial"/>
          <w:color w:val="14181F"/>
          <w:sz w:val="20"/>
          <w:szCs w:val="20"/>
        </w:rPr>
        <w:t xml:space="preserve">Now score it with the value equation. Written multiplicatively, because a zero in any term zeroes the offer.</w:t>
      </w:r>
    </w:p>
    <w:tbl>
      <w:tblPr>
        <w:tblW w:type="dxa" w:w="10080"/>
        <w:tblBorders>
          <w:top w:val="single" w:color="D8D5CE" w:sz="4"/>
          <w:left w:val="single" w:color="D8D5CE" w:sz="4"/>
          <w:bottom w:val="single" w:color="D8D5CE" w:sz="4"/>
          <w:right w:val="single" w:color="D8D5CE" w:sz="4"/>
          <w:insideH w:val="single" w:color="D8D5CE" w:sz="4"/>
          <w:insideV w:val="single" w:color="D8D5CE" w:sz="4"/>
        </w:tblBorders>
      </w:tblPr>
      <w:tblGrid>
        <w:gridCol w:w="3360"/>
        <w:gridCol w:w="4480"/>
        <w:gridCol w:w="2240"/>
      </w:tblGrid>
      <w:tr>
        <w:trPr>
          <w:tblHeader/>
        </w:trPr>
        <w:tc>
          <w:tcPr>
            <w:tcW w:type="dxa" w:w="3360"/>
            <w:shd w:fill="F7F5F1" w:color="auto" w:val="clear"/>
            <w:tcMar>
              <w:top w:type="dxa" w:w="100"/>
              <w:left w:type="dxa" w:w="130"/>
              <w:bottom w:type="dxa" w:w="100"/>
              <w:right w:type="dxa" w:w="130"/>
            </w:tcMar>
          </w:tcPr>
          <w:p>
            <w:pPr>
              <w:spacing w:after="0"/>
            </w:pPr>
            <w:r>
              <w:rPr>
                <w:rFonts w:ascii="Arial" w:cs="Arial" w:eastAsia="Arial" w:hAnsi="Arial"/>
                <w:b/>
                <w:bCs/>
                <w:caps/>
                <w:color w:val="6B7280"/>
                <w:spacing w:val="20"/>
                <w:sz w:val="17"/>
                <w:szCs w:val="17"/>
              </w:rPr>
              <w:t xml:space="preserve">Term</w:t>
            </w:r>
          </w:p>
        </w:tc>
        <w:tc>
          <w:tcPr>
            <w:tcW w:type="dxa" w:w="4480"/>
            <w:shd w:fill="F7F5F1" w:color="auto" w:val="clear"/>
            <w:tcMar>
              <w:top w:type="dxa" w:w="100"/>
              <w:left w:type="dxa" w:w="130"/>
              <w:bottom w:type="dxa" w:w="100"/>
              <w:right w:type="dxa" w:w="130"/>
            </w:tcMar>
          </w:tcPr>
          <w:p>
            <w:pPr>
              <w:spacing w:after="0"/>
            </w:pPr>
            <w:r>
              <w:rPr>
                <w:rFonts w:ascii="Arial" w:cs="Arial" w:eastAsia="Arial" w:hAnsi="Arial"/>
                <w:b/>
                <w:bCs/>
                <w:caps/>
                <w:color w:val="6B7280"/>
                <w:spacing w:val="20"/>
                <w:sz w:val="17"/>
                <w:szCs w:val="17"/>
              </w:rPr>
              <w:t xml:space="preserve">Our current answer</w:t>
            </w:r>
          </w:p>
        </w:tc>
        <w:tc>
          <w:tcPr>
            <w:tcW w:type="dxa" w:w="2240"/>
            <w:shd w:fill="F7F5F1" w:color="auto" w:val="clear"/>
            <w:tcMar>
              <w:top w:type="dxa" w:w="100"/>
              <w:left w:type="dxa" w:w="130"/>
              <w:bottom w:type="dxa" w:w="100"/>
              <w:right w:type="dxa" w:w="130"/>
            </w:tcMar>
          </w:tcPr>
          <w:p>
            <w:pPr>
              <w:spacing w:after="0"/>
            </w:pPr>
            <w:r>
              <w:rPr>
                <w:rFonts w:ascii="Arial" w:cs="Arial" w:eastAsia="Arial" w:hAnsi="Arial"/>
                <w:b/>
                <w:bCs/>
                <w:caps/>
                <w:color w:val="6B7280"/>
                <w:spacing w:val="20"/>
                <w:sz w:val="17"/>
                <w:szCs w:val="17"/>
              </w:rPr>
              <w:t xml:space="preserve">1–10</w:t>
            </w:r>
          </w:p>
        </w:tc>
      </w:tr>
      <w:tr>
        <w:trPr>
          <w:tblHeader w:val="false"/>
        </w:trPr>
        <w:tc>
          <w:tcPr>
            <w:tcW w:type="dxa" w:w="3360"/>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Dream outcome  (multiply)</w:t>
            </w:r>
          </w:p>
        </w:tc>
        <w:tc>
          <w:tcPr>
            <w:tcW w:type="dxa" w:w="4480"/>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
            </w:r>
          </w:p>
        </w:tc>
        <w:tc>
          <w:tcPr>
            <w:tcW w:type="dxa" w:w="2240"/>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
            </w:r>
          </w:p>
        </w:tc>
      </w:tr>
      <w:tr>
        <w:trPr>
          <w:tblHeader w:val="false"/>
        </w:trPr>
        <w:tc>
          <w:tcPr>
            <w:tcW w:type="dxa" w:w="3360"/>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Perceived likelihood  (multiply)</w:t>
            </w:r>
          </w:p>
        </w:tc>
        <w:tc>
          <w:tcPr>
            <w:tcW w:type="dxa" w:w="4480"/>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
            </w:r>
          </w:p>
        </w:tc>
        <w:tc>
          <w:tcPr>
            <w:tcW w:type="dxa" w:w="2240"/>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
            </w:r>
          </w:p>
        </w:tc>
      </w:tr>
      <w:tr>
        <w:trPr>
          <w:tblHeader w:val="false"/>
        </w:trPr>
        <w:tc>
          <w:tcPr>
            <w:tcW w:type="dxa" w:w="3360"/>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Time delay  (divide)</w:t>
            </w:r>
          </w:p>
        </w:tc>
        <w:tc>
          <w:tcPr>
            <w:tcW w:type="dxa" w:w="4480"/>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
            </w:r>
          </w:p>
        </w:tc>
        <w:tc>
          <w:tcPr>
            <w:tcW w:type="dxa" w:w="2240"/>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
            </w:r>
          </w:p>
        </w:tc>
      </w:tr>
      <w:tr>
        <w:trPr>
          <w:tblHeader w:val="false"/>
        </w:trPr>
        <w:tc>
          <w:tcPr>
            <w:tcW w:type="dxa" w:w="3360"/>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Effort and sacrifice  (divide)</w:t>
            </w:r>
          </w:p>
        </w:tc>
        <w:tc>
          <w:tcPr>
            <w:tcW w:type="dxa" w:w="4480"/>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
            </w:r>
          </w:p>
        </w:tc>
        <w:tc>
          <w:tcPr>
            <w:tcW w:type="dxa" w:w="2240"/>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
            </w:r>
          </w:p>
        </w:tc>
      </w:tr>
    </w:tbl>
    <w:p>
      <w:pPr>
        <w:spacing w:after="120"/>
      </w:pPr>
      <w:r>
        <w:rPr>
          <w:rFonts w:ascii="Arial" w:cs="Arial" w:eastAsia="Arial" w:hAnsi="Arial"/>
          <w:sz w:val="16"/>
          <w:szCs w:val="16"/>
        </w:rPr>
        <w:t xml:space="preserve"/>
      </w:r>
    </w:p>
    <w:p>
      <w:pPr>
        <w:spacing w:after="120" w:before="0" w:line="276"/>
      </w:pPr>
      <w:r>
        <w:rPr>
          <w:rFonts w:ascii="Arial" w:cs="Arial" w:eastAsia="Arial" w:hAnsi="Arial"/>
          <w:color w:val="6B7280"/>
          <w:sz w:val="20"/>
          <w:szCs w:val="20"/>
        </w:rPr>
        <w:t xml:space="preserve">Our proposals are usually weak on the middle two. Fix perceived likelihood with named proof and a conditional guarantee. Fix time delay with a contractually named first milestone, such as a deliverable in the first 30 days. Fix effort by moving work from the client to us: done-for-you beats done-with-you beats do-it-yourself.</w:t>
      </w:r>
    </w:p>
    <w:p>
      <w:pPr>
        <w:pStyle w:val="Heading3"/>
        <w:spacing w:after="100" w:before="280"/>
      </w:pPr>
      <w:r>
        <w:rPr>
          <w:rFonts w:ascii="Arial" w:cs="Arial" w:eastAsia="Arial" w:hAnsi="Arial"/>
          <w:b/>
          <w:bCs/>
          <w:color w:val="14181F"/>
          <w:sz w:val="23"/>
          <w:szCs w:val="23"/>
        </w:rPr>
        <w:t xml:space="preserve">1.4  Problems, solutions, and the trim</w:t>
      </w:r>
    </w:p>
    <w:p>
      <w:pPr>
        <w:spacing w:after="120" w:before="0" w:line="276"/>
      </w:pPr>
      <w:r>
        <w:rPr>
          <w:rFonts w:ascii="Arial" w:cs="Arial" w:eastAsia="Arial" w:hAnsi="Arial"/>
          <w:color w:val="14181F"/>
          <w:sz w:val="21"/>
          <w:szCs w:val="21"/>
        </w:rPr>
        <w:t xml:space="preserve">List every problem the buyer hits across the whole timeline, including before they buy and after we deliver. Invert each into a named solution. Then trim.</w:t>
      </w:r>
    </w:p>
    <w:tbl>
      <w:tblPr>
        <w:tblW w:type="dxa" w:w="10080"/>
        <w:tblBorders>
          <w:top w:val="single" w:color="D8D5CE" w:sz="4"/>
          <w:left w:val="single" w:color="D8D5CE" w:sz="4"/>
          <w:bottom w:val="single" w:color="D8D5CE" w:sz="4"/>
          <w:right w:val="single" w:color="D8D5CE" w:sz="4"/>
          <w:insideH w:val="single" w:color="D8D5CE" w:sz="4"/>
          <w:insideV w:val="single" w:color="D8D5CE" w:sz="4"/>
        </w:tblBorders>
      </w:tblPr>
      <w:tblGrid>
        <w:gridCol w:w="3024"/>
        <w:gridCol w:w="3024"/>
        <w:gridCol w:w="2016"/>
        <w:gridCol w:w="2016"/>
      </w:tblGrid>
      <w:tr>
        <w:trPr>
          <w:tblHeader/>
        </w:trPr>
        <w:tc>
          <w:tcPr>
            <w:tcW w:type="dxa" w:w="3024"/>
            <w:shd w:fill="F7F5F1" w:color="auto" w:val="clear"/>
            <w:tcMar>
              <w:top w:type="dxa" w:w="100"/>
              <w:left w:type="dxa" w:w="130"/>
              <w:bottom w:type="dxa" w:w="100"/>
              <w:right w:type="dxa" w:w="130"/>
            </w:tcMar>
          </w:tcPr>
          <w:p>
            <w:pPr>
              <w:spacing w:after="0"/>
            </w:pPr>
            <w:r>
              <w:rPr>
                <w:rFonts w:ascii="Arial" w:cs="Arial" w:eastAsia="Arial" w:hAnsi="Arial"/>
                <w:b/>
                <w:bCs/>
                <w:caps/>
                <w:color w:val="6B7280"/>
                <w:spacing w:val="20"/>
                <w:sz w:val="17"/>
                <w:szCs w:val="17"/>
              </w:rPr>
              <w:t xml:space="preserve">Problem they hit</w:t>
            </w:r>
          </w:p>
        </w:tc>
        <w:tc>
          <w:tcPr>
            <w:tcW w:type="dxa" w:w="3024"/>
            <w:shd w:fill="F7F5F1" w:color="auto" w:val="clear"/>
            <w:tcMar>
              <w:top w:type="dxa" w:w="100"/>
              <w:left w:type="dxa" w:w="130"/>
              <w:bottom w:type="dxa" w:w="100"/>
              <w:right w:type="dxa" w:w="130"/>
            </w:tcMar>
          </w:tcPr>
          <w:p>
            <w:pPr>
              <w:spacing w:after="0"/>
            </w:pPr>
            <w:r>
              <w:rPr>
                <w:rFonts w:ascii="Arial" w:cs="Arial" w:eastAsia="Arial" w:hAnsi="Arial"/>
                <w:b/>
                <w:bCs/>
                <w:caps/>
                <w:color w:val="6B7280"/>
                <w:spacing w:val="20"/>
                <w:sz w:val="17"/>
                <w:szCs w:val="17"/>
              </w:rPr>
              <w:t xml:space="preserve">Named solution</w:t>
            </w:r>
          </w:p>
        </w:tc>
        <w:tc>
          <w:tcPr>
            <w:tcW w:type="dxa" w:w="2016"/>
            <w:shd w:fill="F7F5F1" w:color="auto" w:val="clear"/>
            <w:tcMar>
              <w:top w:type="dxa" w:w="100"/>
              <w:left w:type="dxa" w:w="130"/>
              <w:bottom w:type="dxa" w:w="100"/>
              <w:right w:type="dxa" w:w="130"/>
            </w:tcMar>
          </w:tcPr>
          <w:p>
            <w:pPr>
              <w:spacing w:after="0"/>
            </w:pPr>
            <w:r>
              <w:rPr>
                <w:rFonts w:ascii="Arial" w:cs="Arial" w:eastAsia="Arial" w:hAnsi="Arial"/>
                <w:b/>
                <w:bCs/>
                <w:caps/>
                <w:color w:val="6B7280"/>
                <w:spacing w:val="20"/>
                <w:sz w:val="17"/>
                <w:szCs w:val="17"/>
              </w:rPr>
              <w:t xml:space="preserve">Cost to deliver</w:t>
            </w:r>
          </w:p>
        </w:tc>
        <w:tc>
          <w:tcPr>
            <w:tcW w:type="dxa" w:w="2016"/>
            <w:shd w:fill="F7F5F1" w:color="auto" w:val="clear"/>
            <w:tcMar>
              <w:top w:type="dxa" w:w="100"/>
              <w:left w:type="dxa" w:w="130"/>
              <w:bottom w:type="dxa" w:w="100"/>
              <w:right w:type="dxa" w:w="130"/>
            </w:tcMar>
          </w:tcPr>
          <w:p>
            <w:pPr>
              <w:spacing w:after="0"/>
            </w:pPr>
            <w:r>
              <w:rPr>
                <w:rFonts w:ascii="Arial" w:cs="Arial" w:eastAsia="Arial" w:hAnsi="Arial"/>
                <w:b/>
                <w:bCs/>
                <w:caps/>
                <w:color w:val="6B7280"/>
                <w:spacing w:val="20"/>
                <w:sz w:val="17"/>
                <w:szCs w:val="17"/>
              </w:rPr>
              <w:t xml:space="preserve">Keep or trim</w:t>
            </w:r>
          </w:p>
        </w:tc>
      </w:tr>
      <w:tr>
        <w:trPr>
          <w:tblHeader w:val="false"/>
        </w:trPr>
        <w:tc>
          <w:tcPr>
            <w:tcW w:type="dxa" w:w="3024"/>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EXAMPLE — Their team cannot tell which channel created a deal</w:t>
            </w:r>
          </w:p>
        </w:tc>
        <w:tc>
          <w:tcPr>
            <w:tcW w:type="dxa" w:w="3024"/>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Self-reported attribution install, 2 weeks</w:t>
            </w:r>
          </w:p>
        </w:tc>
        <w:tc>
          <w:tcPr>
            <w:tcW w:type="dxa" w:w="2016"/>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Low</w:t>
            </w:r>
          </w:p>
        </w:tc>
        <w:tc>
          <w:tcPr>
            <w:tcW w:type="dxa" w:w="2016"/>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Keep</w:t>
            </w:r>
          </w:p>
        </w:tc>
      </w:tr>
      <w:tr>
        <w:trPr>
          <w:tblHeader w:val="false"/>
        </w:trPr>
        <w:tc>
          <w:tcPr>
            <w:tcW w:type="dxa" w:w="3024"/>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
            </w:r>
          </w:p>
        </w:tc>
        <w:tc>
          <w:tcPr>
            <w:tcW w:type="dxa" w:w="3024"/>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
            </w:r>
          </w:p>
        </w:tc>
        <w:tc>
          <w:tcPr>
            <w:tcW w:type="dxa" w:w="2016"/>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
            </w:r>
          </w:p>
        </w:tc>
        <w:tc>
          <w:tcPr>
            <w:tcW w:type="dxa" w:w="2016"/>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
            </w:r>
          </w:p>
        </w:tc>
      </w:tr>
      <w:tr>
        <w:trPr>
          <w:tblHeader w:val="false"/>
        </w:trPr>
        <w:tc>
          <w:tcPr>
            <w:tcW w:type="dxa" w:w="3024"/>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
            </w:r>
          </w:p>
        </w:tc>
        <w:tc>
          <w:tcPr>
            <w:tcW w:type="dxa" w:w="3024"/>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
            </w:r>
          </w:p>
        </w:tc>
        <w:tc>
          <w:tcPr>
            <w:tcW w:type="dxa" w:w="2016"/>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
            </w:r>
          </w:p>
        </w:tc>
        <w:tc>
          <w:tcPr>
            <w:tcW w:type="dxa" w:w="2016"/>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
            </w:r>
          </w:p>
        </w:tc>
      </w:tr>
      <w:tr>
        <w:trPr>
          <w:tblHeader w:val="false"/>
        </w:trPr>
        <w:tc>
          <w:tcPr>
            <w:tcW w:type="dxa" w:w="3024"/>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
            </w:r>
          </w:p>
        </w:tc>
        <w:tc>
          <w:tcPr>
            <w:tcW w:type="dxa" w:w="3024"/>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
            </w:r>
          </w:p>
        </w:tc>
        <w:tc>
          <w:tcPr>
            <w:tcW w:type="dxa" w:w="2016"/>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
            </w:r>
          </w:p>
        </w:tc>
        <w:tc>
          <w:tcPr>
            <w:tcW w:type="dxa" w:w="2016"/>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
            </w:r>
          </w:p>
        </w:tc>
      </w:tr>
      <w:tr>
        <w:trPr>
          <w:tblHeader w:val="false"/>
        </w:trPr>
        <w:tc>
          <w:tcPr>
            <w:tcW w:type="dxa" w:w="3024"/>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
            </w:r>
          </w:p>
        </w:tc>
        <w:tc>
          <w:tcPr>
            <w:tcW w:type="dxa" w:w="3024"/>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
            </w:r>
          </w:p>
        </w:tc>
        <w:tc>
          <w:tcPr>
            <w:tcW w:type="dxa" w:w="2016"/>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
            </w:r>
          </w:p>
        </w:tc>
        <w:tc>
          <w:tcPr>
            <w:tcW w:type="dxa" w:w="2016"/>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
            </w:r>
          </w:p>
        </w:tc>
      </w:tr>
      <w:tr>
        <w:trPr>
          <w:tblHeader w:val="false"/>
        </w:trPr>
        <w:tc>
          <w:tcPr>
            <w:tcW w:type="dxa" w:w="3024"/>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
            </w:r>
          </w:p>
        </w:tc>
        <w:tc>
          <w:tcPr>
            <w:tcW w:type="dxa" w:w="3024"/>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
            </w:r>
          </w:p>
        </w:tc>
        <w:tc>
          <w:tcPr>
            <w:tcW w:type="dxa" w:w="2016"/>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
            </w:r>
          </w:p>
        </w:tc>
        <w:tc>
          <w:tcPr>
            <w:tcW w:type="dxa" w:w="2016"/>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
            </w:r>
          </w:p>
        </w:tc>
      </w:tr>
      <w:tr>
        <w:trPr>
          <w:tblHeader w:val="false"/>
        </w:trPr>
        <w:tc>
          <w:tcPr>
            <w:tcW w:type="dxa" w:w="3024"/>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
            </w:r>
          </w:p>
        </w:tc>
        <w:tc>
          <w:tcPr>
            <w:tcW w:type="dxa" w:w="3024"/>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
            </w:r>
          </w:p>
        </w:tc>
        <w:tc>
          <w:tcPr>
            <w:tcW w:type="dxa" w:w="2016"/>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
            </w:r>
          </w:p>
        </w:tc>
        <w:tc>
          <w:tcPr>
            <w:tcW w:type="dxa" w:w="2016"/>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
            </w:r>
          </w:p>
        </w:tc>
      </w:tr>
    </w:tbl>
    <w:p>
      <w:pPr>
        <w:spacing w:after="120"/>
      </w:pPr>
      <w:r>
        <w:rPr>
          <w:rFonts w:ascii="Arial" w:cs="Arial" w:eastAsia="Arial" w:hAnsi="Arial"/>
          <w:sz w:val="16"/>
          <w:szCs w:val="16"/>
        </w:rPr>
        <w:t xml:space="preserve"/>
      </w:r>
    </w:p>
    <w:p>
      <w:pPr>
        <w:pStyle w:val="ListParagraph"/>
        <w:numPr>
          <w:ilvl w:val="0"/>
          <w:numId w:val="1"/>
        </w:numPr>
        <w:spacing w:after="70" w:line="270"/>
      </w:pPr>
      <w:r>
        <w:rPr>
          <w:rFonts w:ascii="Arial" w:cs="Arial" w:eastAsia="Arial" w:hAnsi="Arial"/>
          <w:b/>
          <w:bCs/>
          <w:color w:val="14181F"/>
          <w:sz w:val="21"/>
          <w:szCs w:val="21"/>
        </w:rPr>
        <w:t xml:space="preserve">Keep </w:t>
      </w:r>
      <w:r>
        <w:rPr>
          <w:rFonts w:ascii="Arial" w:cs="Arial" w:eastAsia="Arial" w:hAnsi="Arial"/>
          <w:color w:val="14181F"/>
          <w:sz w:val="21"/>
          <w:szCs w:val="21"/>
        </w:rPr>
        <w:t xml:space="preserve">anything high value and low cost to deliver. That bundle is the offer.</w:t>
      </w:r>
    </w:p>
    <w:p>
      <w:pPr>
        <w:pStyle w:val="ListParagraph"/>
        <w:numPr>
          <w:ilvl w:val="0"/>
          <w:numId w:val="1"/>
        </w:numPr>
        <w:spacing w:after="70" w:line="270"/>
      </w:pPr>
      <w:r>
        <w:rPr>
          <w:rFonts w:ascii="Arial" w:cs="Arial" w:eastAsia="Arial" w:hAnsi="Arial"/>
          <w:b/>
          <w:bCs/>
          <w:color w:val="14181F"/>
          <w:sz w:val="21"/>
          <w:szCs w:val="21"/>
        </w:rPr>
        <w:t xml:space="preserve">Trim </w:t>
      </w:r>
      <w:r>
        <w:rPr>
          <w:rFonts w:ascii="Arial" w:cs="Arial" w:eastAsia="Arial" w:hAnsi="Arial"/>
          <w:color w:val="14181F"/>
          <w:sz w:val="21"/>
          <w:szCs w:val="21"/>
        </w:rPr>
        <w:t xml:space="preserve">anything low value, regardless of what it costs us. Clutter dilutes an offer even when it is free to include.</w:t>
      </w:r>
    </w:p>
    <w:p>
      <w:pPr>
        <w:pStyle w:val="Heading3"/>
        <w:spacing w:after="100" w:before="280"/>
      </w:pPr>
      <w:r>
        <w:rPr>
          <w:rFonts w:ascii="Arial" w:cs="Arial" w:eastAsia="Arial" w:hAnsi="Arial"/>
          <w:b/>
          <w:bCs/>
          <w:color w:val="14181F"/>
          <w:sz w:val="23"/>
          <w:szCs w:val="23"/>
        </w:rPr>
        <w:t xml:space="preserve">1.5  Build the ladder</w:t>
      </w:r>
    </w:p>
    <w:p>
      <w:pPr>
        <w:spacing w:after="120" w:before="0" w:line="276"/>
      </w:pPr>
      <w:r>
        <w:rPr>
          <w:rFonts w:ascii="Arial" w:cs="Arial" w:eastAsia="Arial" w:hAnsi="Arial"/>
          <w:color w:val="14181F"/>
          <w:sz w:val="21"/>
          <w:szCs w:val="21"/>
        </w:rPr>
        <w:t xml:space="preserve">Five rungs. Each one needs a name, a price, a scope, a first milestone with a date, and a guarantee. Ascension in B2B is threshold-gated, so write the threshold that qualifies a client for the next rung.</w:t>
      </w:r>
    </w:p>
    <w:tbl>
      <w:tblPr>
        <w:tblW w:type="dxa" w:w="10080"/>
        <w:tblBorders>
          <w:top w:val="single" w:color="D8D5CE" w:sz="4"/>
          <w:left w:val="single" w:color="D8D5CE" w:sz="4"/>
          <w:bottom w:val="single" w:color="D8D5CE" w:sz="4"/>
          <w:right w:val="single" w:color="D8D5CE" w:sz="4"/>
          <w:insideH w:val="single" w:color="D8D5CE" w:sz="4"/>
          <w:insideV w:val="single" w:color="D8D5CE" w:sz="4"/>
        </w:tblBorders>
      </w:tblPr>
      <w:tblGrid>
        <w:gridCol w:w="1833"/>
        <w:gridCol w:w="1833"/>
        <w:gridCol w:w="2749"/>
        <w:gridCol w:w="1833"/>
        <w:gridCol w:w="1833"/>
      </w:tblGrid>
      <w:tr>
        <w:trPr>
          <w:tblHeader/>
        </w:trPr>
        <w:tc>
          <w:tcPr>
            <w:tcW w:type="dxa" w:w="1833"/>
            <w:shd w:fill="F7F5F1" w:color="auto" w:val="clear"/>
            <w:tcMar>
              <w:top w:type="dxa" w:w="100"/>
              <w:left w:type="dxa" w:w="130"/>
              <w:bottom w:type="dxa" w:w="100"/>
              <w:right w:type="dxa" w:w="130"/>
            </w:tcMar>
          </w:tcPr>
          <w:p>
            <w:pPr>
              <w:spacing w:after="0"/>
            </w:pPr>
            <w:r>
              <w:rPr>
                <w:rFonts w:ascii="Arial" w:cs="Arial" w:eastAsia="Arial" w:hAnsi="Arial"/>
                <w:b/>
                <w:bCs/>
                <w:caps/>
                <w:color w:val="6B7280"/>
                <w:spacing w:val="20"/>
                <w:sz w:val="17"/>
                <w:szCs w:val="17"/>
              </w:rPr>
              <w:t xml:space="preserve">Rung</w:t>
            </w:r>
          </w:p>
        </w:tc>
        <w:tc>
          <w:tcPr>
            <w:tcW w:type="dxa" w:w="1833"/>
            <w:shd w:fill="F7F5F1" w:color="auto" w:val="clear"/>
            <w:tcMar>
              <w:top w:type="dxa" w:w="100"/>
              <w:left w:type="dxa" w:w="130"/>
              <w:bottom w:type="dxa" w:w="100"/>
              <w:right w:type="dxa" w:w="130"/>
            </w:tcMar>
          </w:tcPr>
          <w:p>
            <w:pPr>
              <w:spacing w:after="0"/>
            </w:pPr>
            <w:r>
              <w:rPr>
                <w:rFonts w:ascii="Arial" w:cs="Arial" w:eastAsia="Arial" w:hAnsi="Arial"/>
                <w:b/>
                <w:bCs/>
                <w:caps/>
                <w:color w:val="6B7280"/>
                <w:spacing w:val="20"/>
                <w:sz w:val="17"/>
                <w:szCs w:val="17"/>
              </w:rPr>
              <w:t xml:space="preserve">Price</w:t>
            </w:r>
          </w:p>
        </w:tc>
        <w:tc>
          <w:tcPr>
            <w:tcW w:type="dxa" w:w="2749"/>
            <w:shd w:fill="F7F5F1" w:color="auto" w:val="clear"/>
            <w:tcMar>
              <w:top w:type="dxa" w:w="100"/>
              <w:left w:type="dxa" w:w="130"/>
              <w:bottom w:type="dxa" w:w="100"/>
              <w:right w:type="dxa" w:w="130"/>
            </w:tcMar>
          </w:tcPr>
          <w:p>
            <w:pPr>
              <w:spacing w:after="0"/>
            </w:pPr>
            <w:r>
              <w:rPr>
                <w:rFonts w:ascii="Arial" w:cs="Arial" w:eastAsia="Arial" w:hAnsi="Arial"/>
                <w:b/>
                <w:bCs/>
                <w:caps/>
                <w:color w:val="6B7280"/>
                <w:spacing w:val="20"/>
                <w:sz w:val="17"/>
                <w:szCs w:val="17"/>
              </w:rPr>
              <w:t xml:space="preserve">Scope in one line</w:t>
            </w:r>
          </w:p>
        </w:tc>
        <w:tc>
          <w:tcPr>
            <w:tcW w:type="dxa" w:w="1833"/>
            <w:shd w:fill="F7F5F1" w:color="auto" w:val="clear"/>
            <w:tcMar>
              <w:top w:type="dxa" w:w="100"/>
              <w:left w:type="dxa" w:w="130"/>
              <w:bottom w:type="dxa" w:w="100"/>
              <w:right w:type="dxa" w:w="130"/>
            </w:tcMar>
          </w:tcPr>
          <w:p>
            <w:pPr>
              <w:spacing w:after="0"/>
            </w:pPr>
            <w:r>
              <w:rPr>
                <w:rFonts w:ascii="Arial" w:cs="Arial" w:eastAsia="Arial" w:hAnsi="Arial"/>
                <w:b/>
                <w:bCs/>
                <w:caps/>
                <w:color w:val="6B7280"/>
                <w:spacing w:val="20"/>
                <w:sz w:val="17"/>
                <w:szCs w:val="17"/>
              </w:rPr>
              <w:t xml:space="preserve">First milestone</w:t>
            </w:r>
          </w:p>
        </w:tc>
        <w:tc>
          <w:tcPr>
            <w:tcW w:type="dxa" w:w="1833"/>
            <w:shd w:fill="F7F5F1" w:color="auto" w:val="clear"/>
            <w:tcMar>
              <w:top w:type="dxa" w:w="100"/>
              <w:left w:type="dxa" w:w="130"/>
              <w:bottom w:type="dxa" w:w="100"/>
              <w:right w:type="dxa" w:w="130"/>
            </w:tcMar>
          </w:tcPr>
          <w:p>
            <w:pPr>
              <w:spacing w:after="0"/>
            </w:pPr>
            <w:r>
              <w:rPr>
                <w:rFonts w:ascii="Arial" w:cs="Arial" w:eastAsia="Arial" w:hAnsi="Arial"/>
                <w:b/>
                <w:bCs/>
                <w:caps/>
                <w:color w:val="6B7280"/>
                <w:spacing w:val="20"/>
                <w:sz w:val="17"/>
                <w:szCs w:val="17"/>
              </w:rPr>
              <w:t xml:space="preserve">Threshold to ascend</w:t>
            </w:r>
          </w:p>
        </w:tc>
      </w:tr>
      <w:tr>
        <w:trPr>
          <w:tblHeader w:val="false"/>
        </w:trPr>
        <w:tc>
          <w:tcPr>
            <w:tcW w:type="dxa" w:w="1833"/>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Teaching session</w:t>
            </w:r>
          </w:p>
        </w:tc>
        <w:tc>
          <w:tcPr>
            <w:tcW w:type="dxa" w:w="1833"/>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Free</w:t>
            </w:r>
          </w:p>
        </w:tc>
        <w:tc>
          <w:tcPr>
            <w:tcW w:type="dxa" w:w="2749"/>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40-minute monthly session, replay open</w:t>
            </w:r>
          </w:p>
        </w:tc>
        <w:tc>
          <w:tcPr>
            <w:tcW w:type="dxa" w:w="1833"/>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w:t>
            </w:r>
          </w:p>
        </w:tc>
        <w:tc>
          <w:tcPr>
            <w:tcW w:type="dxa" w:w="1833"/>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Attended and asked a question</w:t>
            </w:r>
          </w:p>
        </w:tc>
      </w:tr>
      <w:tr>
        <w:trPr>
          <w:tblHeader w:val="false"/>
        </w:trPr>
        <w:tc>
          <w:tcPr>
            <w:tcW w:type="dxa" w:w="1833"/>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Paid diagnostic</w:t>
            </w:r>
          </w:p>
        </w:tc>
        <w:tc>
          <w:tcPr>
            <w:tcW w:type="dxa" w:w="1833"/>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
            </w:r>
          </w:p>
        </w:tc>
        <w:tc>
          <w:tcPr>
            <w:tcW w:type="dxa" w:w="2749"/>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
            </w:r>
          </w:p>
        </w:tc>
        <w:tc>
          <w:tcPr>
            <w:tcW w:type="dxa" w:w="1833"/>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
            </w:r>
          </w:p>
        </w:tc>
        <w:tc>
          <w:tcPr>
            <w:tcW w:type="dxa" w:w="1833"/>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
            </w:r>
          </w:p>
        </w:tc>
      </w:tr>
      <w:tr>
        <w:trPr>
          <w:tblHeader w:val="false"/>
        </w:trPr>
        <w:tc>
          <w:tcPr>
            <w:tcW w:type="dxa" w:w="1833"/>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Scoped project</w:t>
            </w:r>
          </w:p>
        </w:tc>
        <w:tc>
          <w:tcPr>
            <w:tcW w:type="dxa" w:w="1833"/>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
            </w:r>
          </w:p>
        </w:tc>
        <w:tc>
          <w:tcPr>
            <w:tcW w:type="dxa" w:w="2749"/>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
            </w:r>
          </w:p>
        </w:tc>
        <w:tc>
          <w:tcPr>
            <w:tcW w:type="dxa" w:w="1833"/>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
            </w:r>
          </w:p>
        </w:tc>
        <w:tc>
          <w:tcPr>
            <w:tcW w:type="dxa" w:w="1833"/>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
            </w:r>
          </w:p>
        </w:tc>
      </w:tr>
      <w:tr>
        <w:trPr>
          <w:tblHeader w:val="false"/>
        </w:trPr>
        <w:tc>
          <w:tcPr>
            <w:tcW w:type="dxa" w:w="1833"/>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Retainer</w:t>
            </w:r>
          </w:p>
        </w:tc>
        <w:tc>
          <w:tcPr>
            <w:tcW w:type="dxa" w:w="1833"/>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
            </w:r>
          </w:p>
        </w:tc>
        <w:tc>
          <w:tcPr>
            <w:tcW w:type="dxa" w:w="2749"/>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
            </w:r>
          </w:p>
        </w:tc>
        <w:tc>
          <w:tcPr>
            <w:tcW w:type="dxa" w:w="1833"/>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
            </w:r>
          </w:p>
        </w:tc>
        <w:tc>
          <w:tcPr>
            <w:tcW w:type="dxa" w:w="1833"/>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
            </w:r>
          </w:p>
        </w:tc>
      </w:tr>
      <w:tr>
        <w:trPr>
          <w:tblHeader w:val="false"/>
        </w:trPr>
        <w:tc>
          <w:tcPr>
            <w:tcW w:type="dxa" w:w="1833"/>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Advisory</w:t>
            </w:r>
          </w:p>
        </w:tc>
        <w:tc>
          <w:tcPr>
            <w:tcW w:type="dxa" w:w="1833"/>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
            </w:r>
          </w:p>
        </w:tc>
        <w:tc>
          <w:tcPr>
            <w:tcW w:type="dxa" w:w="2749"/>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
            </w:r>
          </w:p>
        </w:tc>
        <w:tc>
          <w:tcPr>
            <w:tcW w:type="dxa" w:w="1833"/>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
            </w:r>
          </w:p>
        </w:tc>
        <w:tc>
          <w:tcPr>
            <w:tcW w:type="dxa" w:w="1833"/>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
            </w:r>
          </w:p>
        </w:tc>
      </w:tr>
    </w:tbl>
    <w:p>
      <w:pPr>
        <w:spacing w:after="120"/>
      </w:pPr>
      <w:r>
        <w:rPr>
          <w:rFonts w:ascii="Arial" w:cs="Arial" w:eastAsia="Arial" w:hAnsi="Arial"/>
          <w:sz w:val="16"/>
          <w:szCs w:val="16"/>
        </w:rPr>
        <w:t xml:space="preserve"/>
      </w:r>
    </w:p>
    <w:p>
      <w:pPr>
        <w:pStyle w:val="Heading3"/>
        <w:spacing w:after="100" w:before="280"/>
      </w:pPr>
      <w:r>
        <w:rPr>
          <w:rFonts w:ascii="Arial" w:cs="Arial" w:eastAsia="Arial" w:hAnsi="Arial"/>
          <w:b/>
          <w:bCs/>
          <w:color w:val="14181F"/>
          <w:sz w:val="23"/>
          <w:szCs w:val="23"/>
        </w:rPr>
        <w:t xml:space="preserve">1.6  Write the guarantee</w:t>
      </w:r>
    </w:p>
    <w:p>
      <w:pPr>
        <w:spacing w:after="120" w:before="0" w:line="276"/>
      </w:pPr>
      <w:r>
        <w:rPr>
          <w:rFonts w:ascii="Arial" w:cs="Arial" w:eastAsia="Arial" w:hAnsi="Arial"/>
          <w:color w:val="14181F"/>
          <w:sz w:val="21"/>
          <w:szCs w:val="21"/>
        </w:rPr>
        <w:t xml:space="preserve">Conditional, not unconditional. The shape is: do X, and if you do not get Y, we keep working at no charge or refund. It has to be specific enough to be checkable and survivable enough that we would honour it without argument.</w:t>
      </w:r>
    </w:p>
    <w:p>
      <w:pPr>
        <w:spacing w:after="40" w:before="140"/>
      </w:pPr>
      <w:r>
        <w:rPr>
          <w:rFonts w:ascii="Arial" w:cs="Arial" w:eastAsia="Arial" w:hAnsi="Arial"/>
          <w:b/>
          <w:bCs/>
          <w:caps/>
          <w:color w:val="6B7280"/>
          <w:spacing w:val="20"/>
          <w:sz w:val="18"/>
          <w:szCs w:val="18"/>
        </w:rPr>
        <w:t xml:space="preserve">Guarantee, in the client's words</w:t>
      </w:r>
    </w:p>
    <w:p>
      <w:pPr>
        <w:pBdr>
          <w:bottom w:val="single" w:color="D8D5CE" w:sz="4" w:space="8"/>
        </w:pBdr>
        <w:spacing w:after="60"/>
      </w:pPr>
      <w:r>
        <w:rPr>
          <w:rFonts w:ascii="Arial" w:cs="Arial" w:eastAsia="Arial" w:hAnsi="Arial"/>
          <w:sz w:val="21"/>
          <w:szCs w:val="21"/>
        </w:rPr>
        <w:t xml:space="preserve"> </w:t>
      </w:r>
    </w:p>
    <w:p>
      <w:pPr>
        <w:pBdr>
          <w:bottom w:val="single" w:color="D8D5CE" w:sz="4" w:space="8"/>
        </w:pBdr>
        <w:spacing w:after="60"/>
      </w:pPr>
      <w:r>
        <w:rPr>
          <w:rFonts w:ascii="Arial" w:cs="Arial" w:eastAsia="Arial" w:hAnsi="Arial"/>
          <w:sz w:val="21"/>
          <w:szCs w:val="21"/>
        </w:rPr>
        <w:t xml:space="preserve"> </w:t>
      </w:r>
    </w:p>
    <w:p>
      <w:pPr>
        <w:pBdr>
          <w:bottom w:val="single" w:color="D8D5CE" w:sz="4" w:space="8"/>
        </w:pBdr>
        <w:spacing w:after="100"/>
      </w:pPr>
      <w:r>
        <w:rPr>
          <w:rFonts w:ascii="Arial" w:cs="Arial" w:eastAsia="Arial" w:hAnsi="Arial"/>
          <w:sz w:val="21"/>
          <w:szCs w:val="21"/>
        </w:rPr>
        <w:t xml:space="preserve"> </w:t>
      </w:r>
    </w:p>
    <w:tbl>
      <w:tblPr>
        <w:tblW w:type="dxa" w:w="10080"/>
        <w:tblBorders>
          <w:top w:val="none"/>
          <w:left w:val="single" w:color="A8462F" w:sz="18"/>
          <w:bottom w:val="none"/>
          <w:right w:val="none"/>
          <w:insideH w:val="none"/>
          <w:insideV w:val="none"/>
        </w:tblBorders>
      </w:tblPr>
      <w:tblGrid>
        <w:gridCol w:w="10080"/>
      </w:tblGrid>
      <w:tr>
        <w:tc>
          <w:tcPr>
            <w:tcW w:type="dxa" w:w="10080"/>
            <w:shd w:fill="FAF1EE" w:color="auto" w:val="clear"/>
            <w:tcMar>
              <w:top w:type="dxa" w:w="140"/>
              <w:left w:type="dxa" w:w="180"/>
              <w:bottom w:type="dxa" w:w="140"/>
              <w:right w:type="dxa" w:w="160"/>
            </w:tcMar>
          </w:tcPr>
          <w:p>
            <w:pPr>
              <w:spacing w:after="0" w:before="0" w:line="276"/>
            </w:pPr>
            <w:r>
              <w:rPr>
                <w:rFonts w:ascii="Arial" w:cs="Arial" w:eastAsia="Arial" w:hAnsi="Arial"/>
                <w:color w:val="14181F"/>
                <w:sz w:val="19"/>
                <w:szCs w:val="19"/>
              </w:rPr>
              <w:t xml:space="preserve">Read the guarantee aloud to whoever will have to honour it before it goes into any document. If they hesitate, it is not a guarantee, it is marketing copy, and it will cost more to walk back than it earns.</w:t>
            </w:r>
          </w:p>
        </w:tc>
      </w:tr>
    </w:tbl>
    <w:p>
      <w:r>
        <w:br w:type="page"/>
      </w:r>
    </w:p>
    <w:p>
      <w:pPr>
        <w:pStyle w:val="Heading2"/>
        <w:pBdr>
          <w:bottom w:val="single" w:color="B8801F" w:sz="6" w:space="8"/>
        </w:pBdr>
        <w:spacing w:after="140" w:before="400"/>
      </w:pPr>
      <w:r>
        <w:rPr>
          <w:rFonts w:ascii="Arial" w:cs="Arial" w:eastAsia="Arial" w:hAnsi="Arial"/>
          <w:b/>
          <w:bCs/>
          <w:color w:val="B8801F"/>
          <w:sz w:val="20"/>
          <w:szCs w:val="20"/>
        </w:rPr>
        <w:t xml:space="preserve">Worksheet 2  </w:t>
      </w:r>
      <w:r>
        <w:rPr>
          <w:rFonts w:ascii="Arial" w:cs="Arial" w:eastAsia="Arial" w:hAnsi="Arial"/>
          <w:b/>
          <w:bCs/>
          <w:color w:val="14181F"/>
          <w:sz w:val="28"/>
          <w:szCs w:val="28"/>
        </w:rPr>
        <w:t xml:space="preserve">The 40-minute session script</w:t>
      </w:r>
    </w:p>
    <w:p>
      <w:pPr>
        <w:spacing w:after="200" w:before="0" w:line="276"/>
      </w:pPr>
      <w:r>
        <w:rPr>
          <w:rFonts w:ascii="Arial" w:cs="Arial" w:eastAsia="Arial" w:hAnsi="Arial"/>
          <w:color w:val="6B7280"/>
          <w:sz w:val="20"/>
          <w:szCs w:val="20"/>
        </w:rPr>
        <w:t xml:space="preserve">Stage: Room. This is Brunson's belief-breaking structure with the theatrics removed and the running time cut to what a working buyer will actually give us. Retention runs 73% at 35 to 45 minutes and 51% at 60. Everything below is timed.</w:t>
      </w:r>
    </w:p>
    <w:tbl>
      <w:tblPr>
        <w:tblW w:type="dxa" w:w="10080"/>
        <w:tblBorders>
          <w:top w:val="none"/>
          <w:left w:val="single" w:color="B8801F" w:sz="18"/>
          <w:bottom w:val="none"/>
          <w:right w:val="none"/>
          <w:insideH w:val="none"/>
          <w:insideV w:val="none"/>
        </w:tblBorders>
      </w:tblPr>
      <w:tblGrid>
        <w:gridCol w:w="10080"/>
      </w:tblGrid>
      <w:tr>
        <w:tc>
          <w:tcPr>
            <w:tcW w:type="dxa" w:w="10080"/>
            <w:shd w:fill="F7F5F1" w:color="auto" w:val="clear"/>
            <w:tcMar>
              <w:top w:type="dxa" w:w="140"/>
              <w:left w:type="dxa" w:w="180"/>
              <w:bottom w:type="dxa" w:w="140"/>
              <w:right w:type="dxa" w:w="160"/>
            </w:tcMar>
          </w:tcPr>
          <w:p>
            <w:pPr>
              <w:spacing w:after="0" w:before="0" w:line="276"/>
            </w:pPr>
            <w:r>
              <w:rPr>
                <w:rFonts w:ascii="Arial" w:cs="Arial" w:eastAsia="Arial" w:hAnsi="Arial"/>
                <w:color w:val="14181F"/>
                <w:sz w:val="19"/>
                <w:szCs w:val="19"/>
              </w:rPr>
              <w:t xml:space="preserve">The governing rule: give away the method completely. What we sell is execution, accountability and speed, and no one has ever lost a B2B deal by being too clear about how the work is done.</w:t>
            </w:r>
          </w:p>
        </w:tc>
      </w:tr>
    </w:tbl>
    <w:p>
      <w:pPr>
        <w:spacing w:after="60" w:before="260"/>
      </w:pPr>
      <w:r>
        <w:rPr>
          <w:rFonts w:ascii="Arial" w:cs="Arial" w:eastAsia="Arial" w:hAnsi="Arial"/>
          <w:b/>
          <w:bCs/>
          <w:color w:val="B8801F"/>
          <w:sz w:val="19"/>
          <w:szCs w:val="19"/>
        </w:rPr>
        <w:t xml:space="preserve">00:00–02:00   </w:t>
      </w:r>
      <w:r>
        <w:rPr>
          <w:rFonts w:ascii="Arial" w:cs="Arial" w:eastAsia="Arial" w:hAnsi="Arial"/>
          <w:b/>
          <w:bCs/>
          <w:color w:val="14181F"/>
          <w:sz w:val="23"/>
          <w:szCs w:val="23"/>
        </w:rPr>
        <w:t xml:space="preserve">Open with the stake, not the story</w:t>
      </w:r>
    </w:p>
    <w:p>
      <w:pPr>
        <w:spacing w:after="80" w:before="0" w:line="276"/>
      </w:pPr>
      <w:r>
        <w:rPr>
          <w:rFonts w:ascii="Arial" w:cs="Arial" w:eastAsia="Arial" w:hAnsi="Arial"/>
          <w:color w:val="14181F"/>
          <w:sz w:val="20"/>
          <w:szCs w:val="20"/>
        </w:rPr>
        <w:t xml:space="preserve">No origin story, no credential recital. State the specific problem this session solves and what they will be able to do at the end. Ask for their attention explicitly and tell them the replay is coming so nobody stays out of fear of missing it.</w:t>
      </w:r>
    </w:p>
    <w:p>
      <w:pPr>
        <w:spacing w:after="40" w:before="140"/>
      </w:pPr>
      <w:r>
        <w:rPr>
          <w:rFonts w:ascii="Arial" w:cs="Arial" w:eastAsia="Arial" w:hAnsi="Arial"/>
          <w:b/>
          <w:bCs/>
          <w:caps/>
          <w:color w:val="6B7280"/>
          <w:spacing w:val="20"/>
          <w:sz w:val="18"/>
          <w:szCs w:val="18"/>
        </w:rPr>
        <w:t xml:space="preserve">The one-line promise for this session</w:t>
      </w:r>
    </w:p>
    <w:p>
      <w:pPr>
        <w:pBdr>
          <w:bottom w:val="single" w:color="D8D5CE" w:sz="4" w:space="8"/>
        </w:pBdr>
        <w:spacing w:after="60"/>
      </w:pPr>
      <w:r>
        <w:rPr>
          <w:rFonts w:ascii="Arial" w:cs="Arial" w:eastAsia="Arial" w:hAnsi="Arial"/>
          <w:sz w:val="21"/>
          <w:szCs w:val="21"/>
        </w:rPr>
        <w:t xml:space="preserve"> </w:t>
      </w:r>
    </w:p>
    <w:p>
      <w:pPr>
        <w:pBdr>
          <w:bottom w:val="single" w:color="D8D5CE" w:sz="4" w:space="8"/>
        </w:pBdr>
        <w:spacing w:after="100"/>
      </w:pPr>
      <w:r>
        <w:rPr>
          <w:rFonts w:ascii="Arial" w:cs="Arial" w:eastAsia="Arial" w:hAnsi="Arial"/>
          <w:sz w:val="21"/>
          <w:szCs w:val="21"/>
        </w:rPr>
        <w:t xml:space="preserve"> </w:t>
      </w:r>
    </w:p>
    <w:p>
      <w:pPr>
        <w:spacing w:after="60" w:before="260"/>
      </w:pPr>
      <w:r>
        <w:rPr>
          <w:rFonts w:ascii="Arial" w:cs="Arial" w:eastAsia="Arial" w:hAnsi="Arial"/>
          <w:b/>
          <w:bCs/>
          <w:color w:val="B8801F"/>
          <w:sz w:val="19"/>
          <w:szCs w:val="19"/>
        </w:rPr>
        <w:t xml:space="preserve">02:00–04:00   </w:t>
      </w:r>
      <w:r>
        <w:rPr>
          <w:rFonts w:ascii="Arial" w:cs="Arial" w:eastAsia="Arial" w:hAnsi="Arial"/>
          <w:b/>
          <w:bCs/>
          <w:color w:val="14181F"/>
          <w:sz w:val="23"/>
          <w:szCs w:val="23"/>
        </w:rPr>
        <w:t xml:space="preserve">Name the common enemy</w:t>
      </w:r>
    </w:p>
    <w:p>
      <w:pPr>
        <w:spacing w:after="80" w:before="0" w:line="276"/>
      </w:pPr>
      <w:r>
        <w:rPr>
          <w:rFonts w:ascii="Arial" w:cs="Arial" w:eastAsia="Arial" w:hAnsi="Arial"/>
          <w:color w:val="14181F"/>
          <w:sz w:val="20"/>
          <w:szCs w:val="20"/>
        </w:rPr>
        <w:t xml:space="preserve">The thing in their industry that everyone quietly knows is broken. This earns the room faster than credentials and it is the one piece of Brunson's rapport sequence worth keeping, because in B2B it is usually true.</w:t>
      </w:r>
    </w:p>
    <w:p>
      <w:pPr>
        <w:spacing w:after="40" w:before="140"/>
      </w:pPr>
      <w:r>
        <w:rPr>
          <w:rFonts w:ascii="Arial" w:cs="Arial" w:eastAsia="Arial" w:hAnsi="Arial"/>
          <w:b/>
          <w:bCs/>
          <w:caps/>
          <w:color w:val="6B7280"/>
          <w:spacing w:val="20"/>
          <w:sz w:val="18"/>
          <w:szCs w:val="18"/>
        </w:rPr>
        <w:t xml:space="preserve">The common enemy, stated so a practitioner would nod</w:t>
      </w:r>
    </w:p>
    <w:p>
      <w:pPr>
        <w:pBdr>
          <w:bottom w:val="single" w:color="D8D5CE" w:sz="4" w:space="8"/>
        </w:pBdr>
        <w:spacing w:after="60"/>
      </w:pPr>
      <w:r>
        <w:rPr>
          <w:rFonts w:ascii="Arial" w:cs="Arial" w:eastAsia="Arial" w:hAnsi="Arial"/>
          <w:sz w:val="21"/>
          <w:szCs w:val="21"/>
        </w:rPr>
        <w:t xml:space="preserve"> </w:t>
      </w:r>
    </w:p>
    <w:p>
      <w:pPr>
        <w:pBdr>
          <w:bottom w:val="single" w:color="D8D5CE" w:sz="4" w:space="8"/>
        </w:pBdr>
        <w:spacing w:after="100"/>
      </w:pPr>
      <w:r>
        <w:rPr>
          <w:rFonts w:ascii="Arial" w:cs="Arial" w:eastAsia="Arial" w:hAnsi="Arial"/>
          <w:sz w:val="21"/>
          <w:szCs w:val="21"/>
        </w:rPr>
        <w:t xml:space="preserve"> </w:t>
      </w:r>
    </w:p>
    <w:p>
      <w:pPr>
        <w:spacing w:after="60" w:before="260"/>
      </w:pPr>
      <w:r>
        <w:rPr>
          <w:rFonts w:ascii="Arial" w:cs="Arial" w:eastAsia="Arial" w:hAnsi="Arial"/>
          <w:b/>
          <w:bCs/>
          <w:color w:val="B8801F"/>
          <w:sz w:val="19"/>
          <w:szCs w:val="19"/>
        </w:rPr>
        <w:t xml:space="preserve">04:00–06:00   </w:t>
      </w:r>
      <w:r>
        <w:rPr>
          <w:rFonts w:ascii="Arial" w:cs="Arial" w:eastAsia="Arial" w:hAnsi="Arial"/>
          <w:b/>
          <w:bCs/>
          <w:color w:val="14181F"/>
          <w:sz w:val="23"/>
          <w:szCs w:val="23"/>
        </w:rPr>
        <w:t xml:space="preserve">State the claim, then the evidence</w:t>
      </w:r>
    </w:p>
    <w:p>
      <w:pPr>
        <w:spacing w:after="80" w:before="0" w:line="276"/>
      </w:pPr>
      <w:r>
        <w:rPr>
          <w:rFonts w:ascii="Arial" w:cs="Arial" w:eastAsia="Arial" w:hAnsi="Arial"/>
          <w:color w:val="14181F"/>
          <w:sz w:val="20"/>
          <w:szCs w:val="20"/>
        </w:rPr>
        <w:t xml:space="preserve">The claim sentence from worksheet 1.3, followed immediately by its proof. Where the consumer version asserts and moves on, we cite. This is the moment the session's credibility is set.</w:t>
      </w:r>
    </w:p>
    <w:p>
      <w:pPr>
        <w:spacing w:after="40" w:before="140"/>
      </w:pPr>
      <w:r>
        <w:rPr>
          <w:rFonts w:ascii="Arial" w:cs="Arial" w:eastAsia="Arial" w:hAnsi="Arial"/>
          <w:b/>
          <w:bCs/>
          <w:caps/>
          <w:color w:val="6B7280"/>
          <w:spacing w:val="20"/>
          <w:sz w:val="18"/>
          <w:szCs w:val="18"/>
        </w:rPr>
        <w:t xml:space="preserve">Claim, then the two strongest pieces of evidence for it</w:t>
      </w:r>
    </w:p>
    <w:p>
      <w:pPr>
        <w:pBdr>
          <w:bottom w:val="single" w:color="D8D5CE" w:sz="4" w:space="8"/>
        </w:pBdr>
        <w:spacing w:after="60"/>
      </w:pPr>
      <w:r>
        <w:rPr>
          <w:rFonts w:ascii="Arial" w:cs="Arial" w:eastAsia="Arial" w:hAnsi="Arial"/>
          <w:sz w:val="21"/>
          <w:szCs w:val="21"/>
        </w:rPr>
        <w:t xml:space="preserve"> </w:t>
      </w:r>
    </w:p>
    <w:p>
      <w:pPr>
        <w:pBdr>
          <w:bottom w:val="single" w:color="D8D5CE" w:sz="4" w:space="8"/>
        </w:pBdr>
        <w:spacing w:after="100"/>
      </w:pPr>
      <w:r>
        <w:rPr>
          <w:rFonts w:ascii="Arial" w:cs="Arial" w:eastAsia="Arial" w:hAnsi="Arial"/>
          <w:sz w:val="21"/>
          <w:szCs w:val="21"/>
        </w:rPr>
        <w:t xml:space="preserve"> </w:t>
      </w:r>
    </w:p>
    <w:p>
      <w:pPr>
        <w:spacing w:after="60" w:before="260"/>
      </w:pPr>
      <w:r>
        <w:rPr>
          <w:rFonts w:ascii="Arial" w:cs="Arial" w:eastAsia="Arial" w:hAnsi="Arial"/>
          <w:b/>
          <w:bCs/>
          <w:color w:val="B8801F"/>
          <w:sz w:val="19"/>
          <w:szCs w:val="19"/>
        </w:rPr>
        <w:t xml:space="preserve">06:00–16:00   </w:t>
      </w:r>
      <w:r>
        <w:rPr>
          <w:rFonts w:ascii="Arial" w:cs="Arial" w:eastAsia="Arial" w:hAnsi="Arial"/>
          <w:b/>
          <w:bCs/>
          <w:color w:val="14181F"/>
          <w:sz w:val="23"/>
          <w:szCs w:val="23"/>
        </w:rPr>
        <w:t xml:space="preserve">Point one — the method works</w:t>
      </w:r>
    </w:p>
    <w:p>
      <w:pPr>
        <w:spacing w:after="80" w:before="0" w:line="276"/>
      </w:pPr>
      <w:r>
        <w:rPr>
          <w:rFonts w:ascii="Arial" w:cs="Arial" w:eastAsia="Arial" w:hAnsi="Arial"/>
          <w:color w:val="14181F"/>
          <w:sz w:val="20"/>
          <w:szCs w:val="20"/>
        </w:rPr>
        <w:t xml:space="preserve">Brunson's first false belief: the vehicle itself is invalid. Break it with mechanism and case evidence. Show the actual method, including the parts that are tedious. Named client work beats abstract argument.</w:t>
      </w:r>
    </w:p>
    <w:p>
      <w:pPr>
        <w:spacing w:after="40" w:before="140"/>
      </w:pPr>
      <w:r>
        <w:rPr>
          <w:rFonts w:ascii="Arial" w:cs="Arial" w:eastAsia="Arial" w:hAnsi="Arial"/>
          <w:b/>
          <w:bCs/>
          <w:caps/>
          <w:color w:val="6B7280"/>
          <w:spacing w:val="20"/>
          <w:sz w:val="18"/>
          <w:szCs w:val="18"/>
        </w:rPr>
        <w:t xml:space="preserve">The mechanism, and the case that proves it</w:t>
      </w:r>
    </w:p>
    <w:p>
      <w:pPr>
        <w:pBdr>
          <w:bottom w:val="single" w:color="D8D5CE" w:sz="4" w:space="8"/>
        </w:pBdr>
        <w:spacing w:after="60"/>
      </w:pPr>
      <w:r>
        <w:rPr>
          <w:rFonts w:ascii="Arial" w:cs="Arial" w:eastAsia="Arial" w:hAnsi="Arial"/>
          <w:sz w:val="21"/>
          <w:szCs w:val="21"/>
        </w:rPr>
        <w:t xml:space="preserve"> </w:t>
      </w:r>
    </w:p>
    <w:p>
      <w:pPr>
        <w:pBdr>
          <w:bottom w:val="single" w:color="D8D5CE" w:sz="4" w:space="8"/>
        </w:pBdr>
        <w:spacing w:after="100"/>
      </w:pPr>
      <w:r>
        <w:rPr>
          <w:rFonts w:ascii="Arial" w:cs="Arial" w:eastAsia="Arial" w:hAnsi="Arial"/>
          <w:sz w:val="21"/>
          <w:szCs w:val="21"/>
        </w:rPr>
        <w:t xml:space="preserve"> </w:t>
      </w:r>
    </w:p>
    <w:p>
      <w:pPr>
        <w:spacing w:after="60" w:before="260"/>
      </w:pPr>
      <w:r>
        <w:rPr>
          <w:rFonts w:ascii="Arial" w:cs="Arial" w:eastAsia="Arial" w:hAnsi="Arial"/>
          <w:b/>
          <w:bCs/>
          <w:color w:val="B8801F"/>
          <w:sz w:val="19"/>
          <w:szCs w:val="19"/>
        </w:rPr>
        <w:t xml:space="preserve">16:00–26:00   </w:t>
      </w:r>
      <w:r>
        <w:rPr>
          <w:rFonts w:ascii="Arial" w:cs="Arial" w:eastAsia="Arial" w:hAnsi="Arial"/>
          <w:b/>
          <w:bCs/>
          <w:color w:val="14181F"/>
          <w:sz w:val="23"/>
          <w:szCs w:val="23"/>
        </w:rPr>
        <w:t xml:space="preserve">Point two — it works in their situation</w:t>
      </w:r>
    </w:p>
    <w:p>
      <w:pPr>
        <w:spacing w:after="80" w:before="0" w:line="276"/>
      </w:pPr>
      <w:r>
        <w:rPr>
          <w:rFonts w:ascii="Arial" w:cs="Arial" w:eastAsia="Arial" w:hAnsi="Arial"/>
          <w:color w:val="14181F"/>
          <w:sz w:val="20"/>
          <w:szCs w:val="20"/>
        </w:rPr>
        <w:t xml:space="preserve">The second and third false beliefs, merged. They believe the method works and not for them, because of their team size, their category, their compliance environment, their legacy stack. Address the specific constraint your crowd has, by name.</w:t>
      </w:r>
    </w:p>
    <w:p>
      <w:pPr>
        <w:spacing w:after="40" w:before="140"/>
      </w:pPr>
      <w:r>
        <w:rPr>
          <w:rFonts w:ascii="Arial" w:cs="Arial" w:eastAsia="Arial" w:hAnsi="Arial"/>
          <w:b/>
          <w:bCs/>
          <w:caps/>
          <w:color w:val="6B7280"/>
          <w:spacing w:val="20"/>
          <w:sz w:val="18"/>
          <w:szCs w:val="18"/>
        </w:rPr>
        <w:t xml:space="preserve">Their real constraint, and how the method survives it</w:t>
      </w:r>
    </w:p>
    <w:p>
      <w:pPr>
        <w:pBdr>
          <w:bottom w:val="single" w:color="D8D5CE" w:sz="4" w:space="8"/>
        </w:pBdr>
        <w:spacing w:after="60"/>
      </w:pPr>
      <w:r>
        <w:rPr>
          <w:rFonts w:ascii="Arial" w:cs="Arial" w:eastAsia="Arial" w:hAnsi="Arial"/>
          <w:sz w:val="21"/>
          <w:szCs w:val="21"/>
        </w:rPr>
        <w:t xml:space="preserve"> </w:t>
      </w:r>
    </w:p>
    <w:p>
      <w:pPr>
        <w:pBdr>
          <w:bottom w:val="single" w:color="D8D5CE" w:sz="4" w:space="8"/>
        </w:pBdr>
        <w:spacing w:after="100"/>
      </w:pPr>
      <w:r>
        <w:rPr>
          <w:rFonts w:ascii="Arial" w:cs="Arial" w:eastAsia="Arial" w:hAnsi="Arial"/>
          <w:sz w:val="21"/>
          <w:szCs w:val="21"/>
        </w:rPr>
        <w:t xml:space="preserve"> </w:t>
      </w:r>
    </w:p>
    <w:p>
      <w:pPr>
        <w:spacing w:after="60" w:before="260"/>
      </w:pPr>
      <w:r>
        <w:rPr>
          <w:rFonts w:ascii="Arial" w:cs="Arial" w:eastAsia="Arial" w:hAnsi="Arial"/>
          <w:b/>
          <w:bCs/>
          <w:color w:val="B8801F"/>
          <w:sz w:val="19"/>
          <w:szCs w:val="19"/>
        </w:rPr>
        <w:t xml:space="preserve">26:00–33:00   </w:t>
      </w:r>
      <w:r>
        <w:rPr>
          <w:rFonts w:ascii="Arial" w:cs="Arial" w:eastAsia="Arial" w:hAnsi="Arial"/>
          <w:b/>
          <w:bCs/>
          <w:color w:val="14181F"/>
          <w:sz w:val="23"/>
          <w:szCs w:val="23"/>
        </w:rPr>
        <w:t xml:space="preserve">Point three — what it takes</w:t>
      </w:r>
    </w:p>
    <w:p>
      <w:pPr>
        <w:spacing w:after="80" w:before="0" w:line="276"/>
      </w:pPr>
      <w:r>
        <w:rPr>
          <w:rFonts w:ascii="Arial" w:cs="Arial" w:eastAsia="Arial" w:hAnsi="Arial"/>
          <w:color w:val="14181F"/>
          <w:sz w:val="20"/>
          <w:szCs w:val="20"/>
        </w:rPr>
        <w:t xml:space="preserve">The honest version of what implementation costs in time, people and money. This is counter-intuitive and it is the highest-converting segment in a B2B session, because everyone else is hiding it. It also disqualifies the wrong buyers before they waste a call.</w:t>
      </w:r>
    </w:p>
    <w:p>
      <w:pPr>
        <w:spacing w:after="40" w:before="140"/>
      </w:pPr>
      <w:r>
        <w:rPr>
          <w:rFonts w:ascii="Arial" w:cs="Arial" w:eastAsia="Arial" w:hAnsi="Arial"/>
          <w:b/>
          <w:bCs/>
          <w:caps/>
          <w:color w:val="6B7280"/>
          <w:spacing w:val="20"/>
          <w:sz w:val="18"/>
          <w:szCs w:val="18"/>
        </w:rPr>
        <w:t xml:space="preserve">Honest cost of implementation, stated plainly</w:t>
      </w:r>
    </w:p>
    <w:p>
      <w:pPr>
        <w:pBdr>
          <w:bottom w:val="single" w:color="D8D5CE" w:sz="4" w:space="8"/>
        </w:pBdr>
        <w:spacing w:after="60"/>
      </w:pPr>
      <w:r>
        <w:rPr>
          <w:rFonts w:ascii="Arial" w:cs="Arial" w:eastAsia="Arial" w:hAnsi="Arial"/>
          <w:sz w:val="21"/>
          <w:szCs w:val="21"/>
        </w:rPr>
        <w:t xml:space="preserve"> </w:t>
      </w:r>
    </w:p>
    <w:p>
      <w:pPr>
        <w:pBdr>
          <w:bottom w:val="single" w:color="D8D5CE" w:sz="4" w:space="8"/>
        </w:pBdr>
        <w:spacing w:after="100"/>
      </w:pPr>
      <w:r>
        <w:rPr>
          <w:rFonts w:ascii="Arial" w:cs="Arial" w:eastAsia="Arial" w:hAnsi="Arial"/>
          <w:sz w:val="21"/>
          <w:szCs w:val="21"/>
        </w:rPr>
        <w:t xml:space="preserve"> </w:t>
      </w:r>
    </w:p>
    <w:p>
      <w:pPr>
        <w:spacing w:after="60" w:before="260"/>
      </w:pPr>
      <w:r>
        <w:rPr>
          <w:rFonts w:ascii="Arial" w:cs="Arial" w:eastAsia="Arial" w:hAnsi="Arial"/>
          <w:b/>
          <w:bCs/>
          <w:color w:val="B8801F"/>
          <w:sz w:val="19"/>
          <w:szCs w:val="19"/>
        </w:rPr>
        <w:t xml:space="preserve">33:00–35:00   </w:t>
      </w:r>
      <w:r>
        <w:rPr>
          <w:rFonts w:ascii="Arial" w:cs="Arial" w:eastAsia="Arial" w:hAnsi="Arial"/>
          <w:b/>
          <w:bCs/>
          <w:color w:val="14181F"/>
          <w:sz w:val="23"/>
          <w:szCs w:val="23"/>
        </w:rPr>
        <w:t xml:space="preserve">The transition, with permission</w:t>
      </w:r>
    </w:p>
    <w:p>
      <w:pPr>
        <w:spacing w:after="80" w:before="0" w:line="276"/>
      </w:pPr>
      <w:r>
        <w:rPr>
          <w:rFonts w:ascii="Arial" w:cs="Arial" w:eastAsia="Arial" w:hAnsi="Arial"/>
          <w:color w:val="14181F"/>
          <w:sz w:val="20"/>
          <w:szCs w:val="20"/>
        </w:rPr>
        <w:t xml:space="preserve">Fladlien's rule holds: ask before pitching. "I have two minutes on how we help teams do this, and then we are into questions. Fine?" Wait for the chat to answer. Never pitch cold off content.</w:t>
      </w:r>
    </w:p>
    <w:p>
      <w:pPr>
        <w:spacing w:after="60" w:before="260"/>
      </w:pPr>
      <w:r>
        <w:rPr>
          <w:rFonts w:ascii="Arial" w:cs="Arial" w:eastAsia="Arial" w:hAnsi="Arial"/>
          <w:b/>
          <w:bCs/>
          <w:color w:val="B8801F"/>
          <w:sz w:val="19"/>
          <w:szCs w:val="19"/>
        </w:rPr>
        <w:t xml:space="preserve">35:00–37:00   </w:t>
      </w:r>
      <w:r>
        <w:rPr>
          <w:rFonts w:ascii="Arial" w:cs="Arial" w:eastAsia="Arial" w:hAnsi="Arial"/>
          <w:b/>
          <w:bCs/>
          <w:color w:val="14181F"/>
          <w:sz w:val="23"/>
          <w:szCs w:val="23"/>
        </w:rPr>
        <w:t xml:space="preserve">The offer, presented cumulatively</w:t>
      </w:r>
    </w:p>
    <w:p>
      <w:pPr>
        <w:spacing w:after="80" w:before="0" w:line="276"/>
      </w:pPr>
      <w:r>
        <w:rPr>
          <w:rFonts w:ascii="Arial" w:cs="Arial" w:eastAsia="Arial" w:hAnsi="Arial"/>
          <w:color w:val="14181F"/>
          <w:sz w:val="20"/>
          <w:szCs w:val="20"/>
        </w:rPr>
        <w:t xml:space="preserve">Name the rung. State what is in it, each item building on the last so the final view is the whole thing. Real deliverables, real scope, no invented valuations. State the price. State the guarantee. State the capacity constraint if there is a true one, with the reason why.</w:t>
      </w:r>
    </w:p>
    <w:p>
      <w:pPr>
        <w:spacing w:after="40" w:before="140"/>
      </w:pPr>
      <w:r>
        <w:rPr>
          <w:rFonts w:ascii="Arial" w:cs="Arial" w:eastAsia="Arial" w:hAnsi="Arial"/>
          <w:b/>
          <w:bCs/>
          <w:caps/>
          <w:color w:val="6B7280"/>
          <w:spacing w:val="20"/>
          <w:sz w:val="18"/>
          <w:szCs w:val="18"/>
        </w:rPr>
        <w:t xml:space="preserve">The offer, in four sentences</w:t>
      </w:r>
    </w:p>
    <w:p>
      <w:pPr>
        <w:pBdr>
          <w:bottom w:val="single" w:color="D8D5CE" w:sz="4" w:space="8"/>
        </w:pBdr>
        <w:spacing w:after="60"/>
      </w:pPr>
      <w:r>
        <w:rPr>
          <w:rFonts w:ascii="Arial" w:cs="Arial" w:eastAsia="Arial" w:hAnsi="Arial"/>
          <w:sz w:val="21"/>
          <w:szCs w:val="21"/>
        </w:rPr>
        <w:t xml:space="preserve"> </w:t>
      </w:r>
    </w:p>
    <w:p>
      <w:pPr>
        <w:pBdr>
          <w:bottom w:val="single" w:color="D8D5CE" w:sz="4" w:space="8"/>
        </w:pBdr>
        <w:spacing w:after="100"/>
      </w:pPr>
      <w:r>
        <w:rPr>
          <w:rFonts w:ascii="Arial" w:cs="Arial" w:eastAsia="Arial" w:hAnsi="Arial"/>
          <w:sz w:val="21"/>
          <w:szCs w:val="21"/>
        </w:rPr>
        <w:t xml:space="preserve"> </w:t>
      </w:r>
    </w:p>
    <w:p>
      <w:pPr>
        <w:spacing w:after="60" w:before="260"/>
      </w:pPr>
      <w:r>
        <w:rPr>
          <w:rFonts w:ascii="Arial" w:cs="Arial" w:eastAsia="Arial" w:hAnsi="Arial"/>
          <w:b/>
          <w:bCs/>
          <w:color w:val="B8801F"/>
          <w:sz w:val="19"/>
          <w:szCs w:val="19"/>
        </w:rPr>
        <w:t xml:space="preserve">37:00–40:00   </w:t>
      </w:r>
      <w:r>
        <w:rPr>
          <w:rFonts w:ascii="Arial" w:cs="Arial" w:eastAsia="Arial" w:hAnsi="Arial"/>
          <w:b/>
          <w:bCs/>
          <w:color w:val="14181F"/>
          <w:sz w:val="23"/>
          <w:szCs w:val="23"/>
        </w:rPr>
        <w:t xml:space="preserve">Questions, and one specific next step</w:t>
      </w:r>
    </w:p>
    <w:p>
      <w:pPr>
        <w:spacing w:after="80" w:before="0" w:line="276"/>
      </w:pPr>
      <w:r>
        <w:rPr>
          <w:rFonts w:ascii="Arial" w:cs="Arial" w:eastAsia="Arial" w:hAnsi="Arial"/>
          <w:color w:val="14181F"/>
          <w:sz w:val="20"/>
          <w:szCs w:val="20"/>
        </w:rPr>
        <w:t xml:space="preserve">Take live questions. Close with a single next step that is not "book a call": a named diagnostic with a scope and a price, or the replay plus a specific asset. Post the next step in chat as a link before you finish talking.</w:t>
      </w:r>
    </w:p>
    <w:p>
      <w:pPr>
        <w:spacing w:after="40" w:before="140"/>
      </w:pPr>
      <w:r>
        <w:rPr>
          <w:rFonts w:ascii="Arial" w:cs="Arial" w:eastAsia="Arial" w:hAnsi="Arial"/>
          <w:b/>
          <w:bCs/>
          <w:caps/>
          <w:color w:val="6B7280"/>
          <w:spacing w:val="20"/>
          <w:sz w:val="18"/>
          <w:szCs w:val="18"/>
        </w:rPr>
        <w:t xml:space="preserve">The single next step</w:t>
      </w:r>
    </w:p>
    <w:p>
      <w:pPr>
        <w:pBdr>
          <w:bottom w:val="single" w:color="D8D5CE" w:sz="4" w:space="8"/>
        </w:pBdr>
        <w:spacing w:after="60"/>
      </w:pPr>
      <w:r>
        <w:rPr>
          <w:rFonts w:ascii="Arial" w:cs="Arial" w:eastAsia="Arial" w:hAnsi="Arial"/>
          <w:sz w:val="21"/>
          <w:szCs w:val="21"/>
        </w:rPr>
        <w:t xml:space="preserve"> </w:t>
      </w:r>
    </w:p>
    <w:p>
      <w:pPr>
        <w:pBdr>
          <w:bottom w:val="single" w:color="D8D5CE" w:sz="4" w:space="8"/>
        </w:pBdr>
        <w:spacing w:after="100"/>
      </w:pPr>
      <w:r>
        <w:rPr>
          <w:rFonts w:ascii="Arial" w:cs="Arial" w:eastAsia="Arial" w:hAnsi="Arial"/>
          <w:sz w:val="21"/>
          <w:szCs w:val="21"/>
        </w:rPr>
        <w:t xml:space="preserve"> </w:t>
      </w:r>
    </w:p>
    <w:p>
      <w:pPr>
        <w:spacing w:after="120"/>
      </w:pPr>
      <w:r>
        <w:rPr>
          <w:rFonts w:ascii="Arial" w:cs="Arial" w:eastAsia="Arial" w:hAnsi="Arial"/>
          <w:sz w:val="16"/>
          <w:szCs w:val="16"/>
        </w:rPr>
        <w:t xml:space="preserve"/>
      </w:r>
    </w:p>
    <w:p>
      <w:pPr>
        <w:pStyle w:val="Heading3"/>
        <w:spacing w:after="100" w:before="280"/>
      </w:pPr>
      <w:r>
        <w:rPr>
          <w:rFonts w:ascii="Arial" w:cs="Arial" w:eastAsia="Arial" w:hAnsi="Arial"/>
          <w:b/>
          <w:bCs/>
          <w:color w:val="14181F"/>
          <w:sz w:val="23"/>
          <w:szCs w:val="23"/>
        </w:rPr>
        <w:t xml:space="preserve">Production notes</w:t>
      </w:r>
    </w:p>
    <w:p>
      <w:pPr>
        <w:pStyle w:val="ListParagraph"/>
        <w:numPr>
          <w:ilvl w:val="0"/>
          <w:numId w:val="1"/>
        </w:numPr>
        <w:spacing w:after="70" w:line="270"/>
      </w:pPr>
      <w:r>
        <w:rPr>
          <w:rFonts w:ascii="Arial" w:cs="Arial" w:eastAsia="Arial" w:hAnsi="Arial"/>
          <w:color w:val="14181F"/>
          <w:sz w:val="21"/>
          <w:szCs w:val="21"/>
        </w:rPr>
        <w:t xml:space="preserve">Run the same slot monthly. Cadence beats spectacle, and a session people can predict gets forwarded.</w:t>
      </w:r>
    </w:p>
    <w:p>
      <w:pPr>
        <w:pStyle w:val="ListParagraph"/>
        <w:numPr>
          <w:ilvl w:val="0"/>
          <w:numId w:val="1"/>
        </w:numPr>
        <w:spacing w:after="70" w:line="270"/>
      </w:pPr>
      <w:r>
        <w:rPr>
          <w:rFonts w:ascii="Arial" w:cs="Arial" w:eastAsia="Arial" w:hAnsi="Arial"/>
          <w:color w:val="14181F"/>
          <w:sz w:val="21"/>
          <w:szCs w:val="21"/>
        </w:rPr>
        <w:t xml:space="preserve">Publish the replay immediately and permanently. 58% of opportunities from this format touch the replay first, and it draws 2.4 times the unique viewers of the live event.</w:t>
      </w:r>
    </w:p>
    <w:p>
      <w:pPr>
        <w:pStyle w:val="ListParagraph"/>
        <w:numPr>
          <w:ilvl w:val="0"/>
          <w:numId w:val="1"/>
        </w:numPr>
        <w:spacing w:after="70" w:line="270"/>
      </w:pPr>
      <w:r>
        <w:rPr>
          <w:rFonts w:ascii="Arial" w:cs="Arial" w:eastAsia="Arial" w:hAnsi="Arial"/>
          <w:color w:val="14181F"/>
          <w:sz w:val="21"/>
          <w:szCs w:val="21"/>
        </w:rPr>
        <w:t xml:space="preserve">Never simulate live. If it is a recording, call it an encore session. The cost of labelling it honestly is zero and buyers detect the alternative.</w:t>
      </w:r>
    </w:p>
    <w:p>
      <w:pPr>
        <w:pStyle w:val="ListParagraph"/>
        <w:numPr>
          <w:ilvl w:val="0"/>
          <w:numId w:val="1"/>
        </w:numPr>
        <w:spacing w:after="70" w:line="270"/>
      </w:pPr>
      <w:r>
        <w:rPr>
          <w:rFonts w:ascii="Arial" w:cs="Arial" w:eastAsia="Arial" w:hAnsi="Arial"/>
          <w:color w:val="14181F"/>
          <w:sz w:val="21"/>
          <w:szCs w:val="21"/>
        </w:rPr>
        <w:t xml:space="preserve">Tuesday to Thursday, 10 to 11am in the buyer's local time. Friday runs about 18% below.</w:t>
      </w:r>
    </w:p>
    <w:p>
      <w:pPr>
        <w:pStyle w:val="ListParagraph"/>
        <w:numPr>
          <w:ilvl w:val="0"/>
          <w:numId w:val="1"/>
        </w:numPr>
        <w:spacing w:after="70" w:line="270"/>
      </w:pPr>
      <w:r>
        <w:rPr>
          <w:rFonts w:ascii="Arial" w:cs="Arial" w:eastAsia="Arial" w:hAnsi="Arial"/>
          <w:color w:val="14181F"/>
          <w:sz w:val="21"/>
          <w:szCs w:val="21"/>
        </w:rPr>
        <w:t xml:space="preserve">Score behaviour, not attendance: a question asked, 90% watched, a CTA click. These feed worksheet 3.</w:t>
      </w:r>
    </w:p>
    <w:p>
      <w:r>
        <w:br w:type="page"/>
      </w:r>
    </w:p>
    <w:p>
      <w:pPr>
        <w:pStyle w:val="Heading2"/>
        <w:pBdr>
          <w:bottom w:val="single" w:color="B8801F" w:sz="6" w:space="8"/>
        </w:pBdr>
        <w:spacing w:after="140" w:before="400"/>
      </w:pPr>
      <w:r>
        <w:rPr>
          <w:rFonts w:ascii="Arial" w:cs="Arial" w:eastAsia="Arial" w:hAnsi="Arial"/>
          <w:b/>
          <w:bCs/>
          <w:color w:val="B8801F"/>
          <w:sz w:val="20"/>
          <w:szCs w:val="20"/>
        </w:rPr>
        <w:t xml:space="preserve">Worksheet 3  </w:t>
      </w:r>
      <w:r>
        <w:rPr>
          <w:rFonts w:ascii="Arial" w:cs="Arial" w:eastAsia="Arial" w:hAnsi="Arial"/>
          <w:b/>
          <w:bCs/>
          <w:color w:val="14181F"/>
          <w:sz w:val="28"/>
          <w:szCs w:val="28"/>
        </w:rPr>
        <w:t xml:space="preserve">Sequences</w:t>
      </w:r>
    </w:p>
    <w:p>
      <w:pPr>
        <w:spacing w:after="200" w:before="0" w:line="276"/>
      </w:pPr>
      <w:r>
        <w:rPr>
          <w:rFonts w:ascii="Arial" w:cs="Arial" w:eastAsia="Arial" w:hAnsi="Arial"/>
          <w:color w:val="6B7280"/>
          <w:sz w:val="20"/>
          <w:szCs w:val="20"/>
        </w:rPr>
        <w:t xml:space="preserve">Stages: Room and Receipts. The follow-up is the sales motion. The session is the qualification event. 73% of event leads go cold within 72 hours and roughly a quarter of sales in this format close after the event, which puts the whole game in the three days that follow.</w:t>
      </w:r>
    </w:p>
    <w:p>
      <w:pPr>
        <w:pStyle w:val="Heading3"/>
        <w:spacing w:after="100" w:before="280"/>
      </w:pPr>
      <w:r>
        <w:rPr>
          <w:rFonts w:ascii="Arial" w:cs="Arial" w:eastAsia="Arial" w:hAnsi="Arial"/>
          <w:b/>
          <w:bCs/>
          <w:color w:val="14181F"/>
          <w:sz w:val="23"/>
          <w:szCs w:val="23"/>
        </w:rPr>
        <w:t xml:space="preserve">3.1  Registration and reminders</w:t>
      </w:r>
    </w:p>
    <w:p>
      <w:pPr>
        <w:spacing w:after="120" w:before="0" w:line="276"/>
      </w:pPr>
      <w:r>
        <w:rPr>
          <w:rFonts w:ascii="Arial" w:cs="Arial" w:eastAsia="Arial" w:hAnsi="Arial"/>
          <w:color w:val="14181F"/>
          <w:sz w:val="21"/>
          <w:szCs w:val="21"/>
        </w:rPr>
        <w:t xml:space="preserve">A confirm-plus-three cadence lifts attendance by up to 28%, and same-day reminders account for around 38% of total attendance. Keep every one of these short.</w:t>
      </w:r>
    </w:p>
    <w:tbl>
      <w:tblPr>
        <w:tblW w:type="dxa" w:w="10080"/>
        <w:tblBorders>
          <w:top w:val="single" w:color="D8D5CE" w:sz="4"/>
          <w:left w:val="single" w:color="D8D5CE" w:sz="4"/>
          <w:bottom w:val="single" w:color="D8D5CE" w:sz="4"/>
          <w:right w:val="single" w:color="D8D5CE" w:sz="4"/>
          <w:insideH w:val="single" w:color="D8D5CE" w:sz="4"/>
          <w:insideV w:val="single" w:color="D8D5CE" w:sz="4"/>
        </w:tblBorders>
      </w:tblPr>
      <w:tblGrid>
        <w:gridCol w:w="2240"/>
        <w:gridCol w:w="3360"/>
        <w:gridCol w:w="4480"/>
      </w:tblGrid>
      <w:tr>
        <w:trPr>
          <w:tblHeader/>
        </w:trPr>
        <w:tc>
          <w:tcPr>
            <w:tcW w:type="dxa" w:w="2240"/>
            <w:shd w:fill="F7F5F1" w:color="auto" w:val="clear"/>
            <w:tcMar>
              <w:top w:type="dxa" w:w="100"/>
              <w:left w:type="dxa" w:w="130"/>
              <w:bottom w:type="dxa" w:w="100"/>
              <w:right w:type="dxa" w:w="130"/>
            </w:tcMar>
          </w:tcPr>
          <w:p>
            <w:pPr>
              <w:spacing w:after="0"/>
            </w:pPr>
            <w:r>
              <w:rPr>
                <w:rFonts w:ascii="Arial" w:cs="Arial" w:eastAsia="Arial" w:hAnsi="Arial"/>
                <w:b/>
                <w:bCs/>
                <w:caps/>
                <w:color w:val="6B7280"/>
                <w:spacing w:val="20"/>
                <w:sz w:val="17"/>
                <w:szCs w:val="17"/>
              </w:rPr>
              <w:t xml:space="preserve">Send</w:t>
            </w:r>
          </w:p>
        </w:tc>
        <w:tc>
          <w:tcPr>
            <w:tcW w:type="dxa" w:w="3360"/>
            <w:shd w:fill="F7F5F1" w:color="auto" w:val="clear"/>
            <w:tcMar>
              <w:top w:type="dxa" w:w="100"/>
              <w:left w:type="dxa" w:w="130"/>
              <w:bottom w:type="dxa" w:w="100"/>
              <w:right w:type="dxa" w:w="130"/>
            </w:tcMar>
          </w:tcPr>
          <w:p>
            <w:pPr>
              <w:spacing w:after="0"/>
            </w:pPr>
            <w:r>
              <w:rPr>
                <w:rFonts w:ascii="Arial" w:cs="Arial" w:eastAsia="Arial" w:hAnsi="Arial"/>
                <w:b/>
                <w:bCs/>
                <w:caps/>
                <w:color w:val="6B7280"/>
                <w:spacing w:val="20"/>
                <w:sz w:val="17"/>
                <w:szCs w:val="17"/>
              </w:rPr>
              <w:t xml:space="preserve">Timing</w:t>
            </w:r>
          </w:p>
        </w:tc>
        <w:tc>
          <w:tcPr>
            <w:tcW w:type="dxa" w:w="4480"/>
            <w:shd w:fill="F7F5F1" w:color="auto" w:val="clear"/>
            <w:tcMar>
              <w:top w:type="dxa" w:w="100"/>
              <w:left w:type="dxa" w:w="130"/>
              <w:bottom w:type="dxa" w:w="100"/>
              <w:right w:type="dxa" w:w="130"/>
            </w:tcMar>
          </w:tcPr>
          <w:p>
            <w:pPr>
              <w:spacing w:after="0"/>
            </w:pPr>
            <w:r>
              <w:rPr>
                <w:rFonts w:ascii="Arial" w:cs="Arial" w:eastAsia="Arial" w:hAnsi="Arial"/>
                <w:b/>
                <w:bCs/>
                <w:caps/>
                <w:color w:val="6B7280"/>
                <w:spacing w:val="20"/>
                <w:sz w:val="17"/>
                <w:szCs w:val="17"/>
              </w:rPr>
              <w:t xml:space="preserve">Job of the message</w:t>
            </w:r>
          </w:p>
        </w:tc>
      </w:tr>
      <w:tr>
        <w:trPr>
          <w:tblHeader w:val="false"/>
        </w:trPr>
        <w:tc>
          <w:tcPr>
            <w:tcW w:type="dxa" w:w="2240"/>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Confirmation</w:t>
            </w:r>
          </w:p>
        </w:tc>
        <w:tc>
          <w:tcPr>
            <w:tcW w:type="dxa" w:w="3360"/>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Immediately</w:t>
            </w:r>
          </w:p>
        </w:tc>
        <w:tc>
          <w:tcPr>
            <w:tcW w:type="dxa" w:w="4480"/>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Calendar file, the one-line promise, and the honest running time. Set the expectation that the replay comes regardless.</w:t>
            </w:r>
          </w:p>
        </w:tc>
      </w:tr>
      <w:tr>
        <w:trPr>
          <w:tblHeader w:val="false"/>
        </w:trPr>
        <w:tc>
          <w:tcPr>
            <w:tcW w:type="dxa" w:w="2240"/>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Reminder 1</w:t>
            </w:r>
          </w:p>
        </w:tc>
        <w:tc>
          <w:tcPr>
            <w:tcW w:type="dxa" w:w="3360"/>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T minus 7 days</w:t>
            </w:r>
          </w:p>
        </w:tc>
        <w:tc>
          <w:tcPr>
            <w:tcW w:type="dxa" w:w="4480"/>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One useful thing they can use before the session. Earns the open.</w:t>
            </w:r>
          </w:p>
        </w:tc>
      </w:tr>
      <w:tr>
        <w:trPr>
          <w:tblHeader w:val="false"/>
        </w:trPr>
        <w:tc>
          <w:tcPr>
            <w:tcW w:type="dxa" w:w="2240"/>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Reminder 2</w:t>
            </w:r>
          </w:p>
        </w:tc>
        <w:tc>
          <w:tcPr>
            <w:tcW w:type="dxa" w:w="3360"/>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T minus 1 day</w:t>
            </w:r>
          </w:p>
        </w:tc>
        <w:tc>
          <w:tcPr>
            <w:tcW w:type="dxa" w:w="4480"/>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The promise again, the time in their timezone, and the link.</w:t>
            </w:r>
          </w:p>
        </w:tc>
      </w:tr>
      <w:tr>
        <w:trPr>
          <w:tblHeader w:val="false"/>
        </w:trPr>
        <w:tc>
          <w:tcPr>
            <w:tcW w:type="dxa" w:w="2240"/>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Reminder 3</w:t>
            </w:r>
          </w:p>
        </w:tc>
        <w:tc>
          <w:tcPr>
            <w:tcW w:type="dxa" w:w="3360"/>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T minus 1 hour</w:t>
            </w:r>
          </w:p>
        </w:tc>
        <w:tc>
          <w:tcPr>
            <w:tcW w:type="dxa" w:w="4480"/>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Link only. Two sentences maximum.</w:t>
            </w:r>
          </w:p>
        </w:tc>
      </w:tr>
      <w:tr>
        <w:trPr>
          <w:tblHeader w:val="false"/>
        </w:trPr>
        <w:tc>
          <w:tcPr>
            <w:tcW w:type="dxa" w:w="2240"/>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Live nudge</w:t>
            </w:r>
          </w:p>
        </w:tc>
        <w:tc>
          <w:tcPr>
            <w:tcW w:type="dxa" w:w="3360"/>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At start</w:t>
            </w:r>
          </w:p>
        </w:tc>
        <w:tc>
          <w:tcPr>
            <w:tcW w:type="dxa" w:w="4480"/>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"We are starting." SMS if they opted in, otherwise email.</w:t>
            </w:r>
          </w:p>
        </w:tc>
      </w:tr>
    </w:tbl>
    <w:p>
      <w:pPr>
        <w:spacing w:after="40" w:before="140"/>
      </w:pPr>
      <w:r>
        <w:rPr>
          <w:rFonts w:ascii="Arial" w:cs="Arial" w:eastAsia="Arial" w:hAnsi="Arial"/>
          <w:b/>
          <w:bCs/>
          <w:caps/>
          <w:color w:val="6B7280"/>
          <w:spacing w:val="20"/>
          <w:sz w:val="18"/>
          <w:szCs w:val="18"/>
        </w:rPr>
        <w:t xml:space="preserve">Confirmation subject line</w:t>
      </w:r>
    </w:p>
    <w:p>
      <w:pPr>
        <w:pBdr>
          <w:bottom w:val="single" w:color="D8D5CE" w:sz="4" w:space="8"/>
        </w:pBdr>
        <w:spacing w:after="100"/>
      </w:pPr>
      <w:r>
        <w:rPr>
          <w:rFonts w:ascii="Arial" w:cs="Arial" w:eastAsia="Arial" w:hAnsi="Arial"/>
          <w:sz w:val="21"/>
          <w:szCs w:val="21"/>
        </w:rPr>
        <w:t xml:space="preserve"> </w:t>
      </w:r>
    </w:p>
    <w:p>
      <w:pPr>
        <w:spacing w:after="40" w:before="140"/>
      </w:pPr>
      <w:r>
        <w:rPr>
          <w:rFonts w:ascii="Arial" w:cs="Arial" w:eastAsia="Arial" w:hAnsi="Arial"/>
          <w:b/>
          <w:bCs/>
          <w:caps/>
          <w:color w:val="6B7280"/>
          <w:spacing w:val="20"/>
          <w:sz w:val="18"/>
          <w:szCs w:val="18"/>
        </w:rPr>
        <w:t xml:space="preserve">The one useful thing sent at T minus 7</w:t>
      </w:r>
    </w:p>
    <w:p>
      <w:pPr>
        <w:pBdr>
          <w:bottom w:val="single" w:color="D8D5CE" w:sz="4" w:space="8"/>
        </w:pBdr>
        <w:spacing w:after="60"/>
      </w:pPr>
      <w:r>
        <w:rPr>
          <w:rFonts w:ascii="Arial" w:cs="Arial" w:eastAsia="Arial" w:hAnsi="Arial"/>
          <w:sz w:val="21"/>
          <w:szCs w:val="21"/>
        </w:rPr>
        <w:t xml:space="preserve"> </w:t>
      </w:r>
    </w:p>
    <w:p>
      <w:pPr>
        <w:pBdr>
          <w:bottom w:val="single" w:color="D8D5CE" w:sz="4" w:space="8"/>
        </w:pBdr>
        <w:spacing w:after="100"/>
      </w:pPr>
      <w:r>
        <w:rPr>
          <w:rFonts w:ascii="Arial" w:cs="Arial" w:eastAsia="Arial" w:hAnsi="Arial"/>
          <w:sz w:val="21"/>
          <w:szCs w:val="21"/>
        </w:rPr>
        <w:t xml:space="preserve"> </w:t>
      </w:r>
    </w:p>
    <w:p>
      <w:pPr>
        <w:pStyle w:val="Heading3"/>
        <w:spacing w:after="100" w:before="280"/>
      </w:pPr>
      <w:r>
        <w:rPr>
          <w:rFonts w:ascii="Arial" w:cs="Arial" w:eastAsia="Arial" w:hAnsi="Arial"/>
          <w:b/>
          <w:bCs/>
          <w:color w:val="14181F"/>
          <w:sz w:val="23"/>
          <w:szCs w:val="23"/>
        </w:rPr>
        <w:t xml:space="preserve">3.2  The 72-hour window</w:t>
      </w:r>
    </w:p>
    <w:p>
      <w:pPr>
        <w:spacing w:after="120" w:before="0" w:line="276"/>
      </w:pPr>
      <w:r>
        <w:rPr>
          <w:rFonts w:ascii="Arial" w:cs="Arial" w:eastAsia="Arial" w:hAnsi="Arial"/>
          <w:color w:val="14181F"/>
          <w:sz w:val="21"/>
          <w:szCs w:val="21"/>
        </w:rPr>
        <w:t xml:space="preserve">Segment by behaviour, not by whether they showed up. The bands below are what earn a different message.</w:t>
      </w:r>
    </w:p>
    <w:tbl>
      <w:tblPr>
        <w:tblW w:type="dxa" w:w="10080"/>
        <w:tblBorders>
          <w:top w:val="single" w:color="D8D5CE" w:sz="4"/>
          <w:left w:val="single" w:color="D8D5CE" w:sz="4"/>
          <w:bottom w:val="single" w:color="D8D5CE" w:sz="4"/>
          <w:right w:val="single" w:color="D8D5CE" w:sz="4"/>
          <w:insideH w:val="single" w:color="D8D5CE" w:sz="4"/>
          <w:insideV w:val="single" w:color="D8D5CE" w:sz="4"/>
        </w:tblBorders>
      </w:tblPr>
      <w:tblGrid>
        <w:gridCol w:w="2240"/>
        <w:gridCol w:w="3360"/>
        <w:gridCol w:w="4480"/>
      </w:tblGrid>
      <w:tr>
        <w:trPr>
          <w:tblHeader/>
        </w:trPr>
        <w:tc>
          <w:tcPr>
            <w:tcW w:type="dxa" w:w="2240"/>
            <w:shd w:fill="F7F5F1" w:color="auto" w:val="clear"/>
            <w:tcMar>
              <w:top w:type="dxa" w:w="100"/>
              <w:left w:type="dxa" w:w="130"/>
              <w:bottom w:type="dxa" w:w="100"/>
              <w:right w:type="dxa" w:w="130"/>
            </w:tcMar>
          </w:tcPr>
          <w:p>
            <w:pPr>
              <w:spacing w:after="0"/>
            </w:pPr>
            <w:r>
              <w:rPr>
                <w:rFonts w:ascii="Arial" w:cs="Arial" w:eastAsia="Arial" w:hAnsi="Arial"/>
                <w:b/>
                <w:bCs/>
                <w:caps/>
                <w:color w:val="6B7280"/>
                <w:spacing w:val="20"/>
                <w:sz w:val="17"/>
                <w:szCs w:val="17"/>
              </w:rPr>
              <w:t xml:space="preserve">Band</w:t>
            </w:r>
          </w:p>
        </w:tc>
        <w:tc>
          <w:tcPr>
            <w:tcW w:type="dxa" w:w="3360"/>
            <w:shd w:fill="F7F5F1" w:color="auto" w:val="clear"/>
            <w:tcMar>
              <w:top w:type="dxa" w:w="100"/>
              <w:left w:type="dxa" w:w="130"/>
              <w:bottom w:type="dxa" w:w="100"/>
              <w:right w:type="dxa" w:w="130"/>
            </w:tcMar>
          </w:tcPr>
          <w:p>
            <w:pPr>
              <w:spacing w:after="0"/>
            </w:pPr>
            <w:r>
              <w:rPr>
                <w:rFonts w:ascii="Arial" w:cs="Arial" w:eastAsia="Arial" w:hAnsi="Arial"/>
                <w:b/>
                <w:bCs/>
                <w:caps/>
                <w:color w:val="6B7280"/>
                <w:spacing w:val="20"/>
                <w:sz w:val="17"/>
                <w:szCs w:val="17"/>
              </w:rPr>
              <w:t xml:space="preserve">Signal</w:t>
            </w:r>
          </w:p>
        </w:tc>
        <w:tc>
          <w:tcPr>
            <w:tcW w:type="dxa" w:w="4480"/>
            <w:shd w:fill="F7F5F1" w:color="auto" w:val="clear"/>
            <w:tcMar>
              <w:top w:type="dxa" w:w="100"/>
              <w:left w:type="dxa" w:w="130"/>
              <w:bottom w:type="dxa" w:w="100"/>
              <w:right w:type="dxa" w:w="130"/>
            </w:tcMar>
          </w:tcPr>
          <w:p>
            <w:pPr>
              <w:spacing w:after="0"/>
            </w:pPr>
            <w:r>
              <w:rPr>
                <w:rFonts w:ascii="Arial" w:cs="Arial" w:eastAsia="Arial" w:hAnsi="Arial"/>
                <w:b/>
                <w:bCs/>
                <w:caps/>
                <w:color w:val="6B7280"/>
                <w:spacing w:val="20"/>
                <w:sz w:val="17"/>
                <w:szCs w:val="17"/>
              </w:rPr>
              <w:t xml:space="preserve">Within 72 hours, they get</w:t>
            </w:r>
          </w:p>
        </w:tc>
      </w:tr>
      <w:tr>
        <w:trPr>
          <w:tblHeader w:val="false"/>
        </w:trPr>
        <w:tc>
          <w:tcPr>
            <w:tcW w:type="dxa" w:w="2240"/>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Hot</w:t>
            </w:r>
          </w:p>
        </w:tc>
        <w:tc>
          <w:tcPr>
            <w:tcW w:type="dxa" w:w="3360"/>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Asked a question, or clicked the CTA, or watched over 90%</w:t>
            </w:r>
          </w:p>
        </w:tc>
        <w:tc>
          <w:tcPr>
            <w:tcW w:type="dxa" w:w="4480"/>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A named person, a specific observation about their business, and the diagnostic offer with a scope and a price. Not a calendar link with no content.</w:t>
            </w:r>
          </w:p>
        </w:tc>
      </w:tr>
      <w:tr>
        <w:trPr>
          <w:tblHeader w:val="false"/>
        </w:trPr>
        <w:tc>
          <w:tcPr>
            <w:tcW w:type="dxa" w:w="2240"/>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Warm</w:t>
            </w:r>
          </w:p>
        </w:tc>
        <w:tc>
          <w:tcPr>
            <w:tcW w:type="dxa" w:w="3360"/>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Attended over half, no interaction</w:t>
            </w:r>
          </w:p>
        </w:tc>
        <w:tc>
          <w:tcPr>
            <w:tcW w:type="dxa" w:w="4480"/>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The replay timestamped to the segment that matches their stated constraint, plus one asset that goes deeper on it.</w:t>
            </w:r>
          </w:p>
        </w:tc>
      </w:tr>
      <w:tr>
        <w:trPr>
          <w:tblHeader w:val="false"/>
        </w:trPr>
        <w:tc>
          <w:tcPr>
            <w:tcW w:type="dxa" w:w="2240"/>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Registered, no show</w:t>
            </w:r>
          </w:p>
        </w:tc>
        <w:tc>
          <w:tcPr>
            <w:tcW w:type="dxa" w:w="3360"/>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Never attended</w:t>
            </w:r>
          </w:p>
        </w:tc>
        <w:tc>
          <w:tcPr>
            <w:tcW w:type="dxa" w:w="4480"/>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The replay, framed as the thing they registered for. This band is not a failure; a large share of pipeline arrives here.</w:t>
            </w:r>
          </w:p>
        </w:tc>
      </w:tr>
      <w:tr>
        <w:trPr>
          <w:tblHeader w:val="false"/>
        </w:trPr>
        <w:tc>
          <w:tcPr>
            <w:tcW w:type="dxa" w:w="2240"/>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Cold</w:t>
            </w:r>
          </w:p>
        </w:tc>
        <w:tc>
          <w:tcPr>
            <w:tcW w:type="dxa" w:w="3360"/>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Registered, never opened anything</w:t>
            </w:r>
          </w:p>
        </w:tc>
        <w:tc>
          <w:tcPr>
            <w:tcW w:type="dxa" w:w="4480"/>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Two sends, then they drop back to the monthly list. No chasing.</w:t>
            </w:r>
          </w:p>
        </w:tc>
      </w:tr>
    </w:tbl>
    <w:p>
      <w:pPr>
        <w:spacing w:after="120"/>
      </w:pPr>
      <w:r>
        <w:rPr>
          <w:rFonts w:ascii="Arial" w:cs="Arial" w:eastAsia="Arial" w:hAnsi="Arial"/>
          <w:sz w:val="16"/>
          <w:szCs w:val="16"/>
        </w:rPr>
        <w:t xml:space="preserve"/>
      </w:r>
    </w:p>
    <w:tbl>
      <w:tblPr>
        <w:tblW w:type="dxa" w:w="10080"/>
        <w:tblBorders>
          <w:top w:val="none"/>
          <w:left w:val="single" w:color="B8801F" w:sz="18"/>
          <w:bottom w:val="none"/>
          <w:right w:val="none"/>
          <w:insideH w:val="none"/>
          <w:insideV w:val="none"/>
        </w:tblBorders>
      </w:tblPr>
      <w:tblGrid>
        <w:gridCol w:w="10080"/>
      </w:tblGrid>
      <w:tr>
        <w:tc>
          <w:tcPr>
            <w:tcW w:type="dxa" w:w="10080"/>
            <w:shd w:fill="F7F5F1" w:color="auto" w:val="clear"/>
            <w:tcMar>
              <w:top w:type="dxa" w:w="140"/>
              <w:left w:type="dxa" w:w="180"/>
              <w:bottom w:type="dxa" w:w="140"/>
              <w:right w:type="dxa" w:w="160"/>
            </w:tcMar>
          </w:tcPr>
          <w:p>
            <w:pPr>
              <w:spacing w:after="0" w:before="0" w:line="276"/>
            </w:pPr>
            <w:r>
              <w:rPr>
                <w:rFonts w:ascii="Arial" w:cs="Arial" w:eastAsia="Arial" w:hAnsi="Arial"/>
                <w:color w:val="14181F"/>
                <w:sz w:val="19"/>
                <w:szCs w:val="19"/>
              </w:rPr>
              <w:t xml:space="preserve">The hot-band message is the highest-value asset in this whole workbook, and it is the one most often written as a generic follow-up. It should name something specific about their company that we noticed, which means somebody looks before sending. Ten of these beat two hundred templated ones.</w:t>
            </w:r>
          </w:p>
        </w:tc>
      </w:tr>
    </w:tbl>
    <w:p>
      <w:pPr>
        <w:spacing w:after="40" w:before="140"/>
      </w:pPr>
      <w:r>
        <w:rPr>
          <w:rFonts w:ascii="Arial" w:cs="Arial" w:eastAsia="Arial" w:hAnsi="Arial"/>
          <w:b/>
          <w:bCs/>
          <w:caps/>
          <w:color w:val="6B7280"/>
          <w:spacing w:val="20"/>
          <w:sz w:val="18"/>
          <w:szCs w:val="18"/>
        </w:rPr>
        <w:t xml:space="preserve">Hot-band opening line, written so it could only be sent to one company</w:t>
      </w:r>
    </w:p>
    <w:p>
      <w:pPr>
        <w:pBdr>
          <w:bottom w:val="single" w:color="D8D5CE" w:sz="4" w:space="8"/>
        </w:pBdr>
        <w:spacing w:after="60"/>
      </w:pPr>
      <w:r>
        <w:rPr>
          <w:rFonts w:ascii="Arial" w:cs="Arial" w:eastAsia="Arial" w:hAnsi="Arial"/>
          <w:sz w:val="21"/>
          <w:szCs w:val="21"/>
        </w:rPr>
        <w:t xml:space="preserve"> </w:t>
      </w:r>
    </w:p>
    <w:p>
      <w:pPr>
        <w:pBdr>
          <w:bottom w:val="single" w:color="D8D5CE" w:sz="4" w:space="8"/>
        </w:pBdr>
        <w:spacing w:after="100"/>
      </w:pPr>
      <w:r>
        <w:rPr>
          <w:rFonts w:ascii="Arial" w:cs="Arial" w:eastAsia="Arial" w:hAnsi="Arial"/>
          <w:sz w:val="21"/>
          <w:szCs w:val="21"/>
        </w:rPr>
        <w:t xml:space="preserve"> </w:t>
      </w:r>
    </w:p>
    <w:p>
      <w:pPr>
        <w:pStyle w:val="Heading3"/>
        <w:spacing w:after="100" w:before="280"/>
      </w:pPr>
      <w:r>
        <w:rPr>
          <w:rFonts w:ascii="Arial" w:cs="Arial" w:eastAsia="Arial" w:hAnsi="Arial"/>
          <w:b/>
          <w:bCs/>
          <w:color w:val="14181F"/>
          <w:sz w:val="23"/>
          <w:szCs w:val="23"/>
        </w:rPr>
        <w:t xml:space="preserve">3.3  Non-buyer nurture</w:t>
      </w:r>
    </w:p>
    <w:p>
      <w:pPr>
        <w:spacing w:after="120" w:before="0" w:line="276"/>
      </w:pPr>
      <w:r>
        <w:rPr>
          <w:rFonts w:ascii="Arial" w:cs="Arial" w:eastAsia="Arial" w:hAnsi="Arial"/>
          <w:color w:val="14181F"/>
          <w:sz w:val="21"/>
          <w:szCs w:val="21"/>
        </w:rPr>
        <w:t xml:space="preserve">The three-touch spine, borrowed from Walker's prelaunch sequence, which works independently of any deadline because each piece is worth reading on its own.</w:t>
      </w:r>
    </w:p>
    <w:tbl>
      <w:tblPr>
        <w:tblW w:type="dxa" w:w="10080"/>
        <w:tblBorders>
          <w:top w:val="single" w:color="D8D5CE" w:sz="4"/>
          <w:left w:val="single" w:color="D8D5CE" w:sz="4"/>
          <w:bottom w:val="single" w:color="D8D5CE" w:sz="4"/>
          <w:right w:val="single" w:color="D8D5CE" w:sz="4"/>
          <w:insideH w:val="single" w:color="D8D5CE" w:sz="4"/>
          <w:insideV w:val="single" w:color="D8D5CE" w:sz="4"/>
        </w:tblBorders>
      </w:tblPr>
      <w:tblGrid>
        <w:gridCol w:w="2240"/>
        <w:gridCol w:w="3360"/>
        <w:gridCol w:w="4480"/>
      </w:tblGrid>
      <w:tr>
        <w:trPr>
          <w:tblHeader/>
        </w:trPr>
        <w:tc>
          <w:tcPr>
            <w:tcW w:type="dxa" w:w="2240"/>
            <w:shd w:fill="F7F5F1" w:color="auto" w:val="clear"/>
            <w:tcMar>
              <w:top w:type="dxa" w:w="100"/>
              <w:left w:type="dxa" w:w="130"/>
              <w:bottom w:type="dxa" w:w="100"/>
              <w:right w:type="dxa" w:w="130"/>
            </w:tcMar>
          </w:tcPr>
          <w:p>
            <w:pPr>
              <w:spacing w:after="0"/>
            </w:pPr>
            <w:r>
              <w:rPr>
                <w:rFonts w:ascii="Arial" w:cs="Arial" w:eastAsia="Arial" w:hAnsi="Arial"/>
                <w:b/>
                <w:bCs/>
                <w:caps/>
                <w:color w:val="6B7280"/>
                <w:spacing w:val="20"/>
                <w:sz w:val="17"/>
                <w:szCs w:val="17"/>
              </w:rPr>
              <w:t xml:space="preserve">Touch</w:t>
            </w:r>
          </w:p>
        </w:tc>
        <w:tc>
          <w:tcPr>
            <w:tcW w:type="dxa" w:w="3360"/>
            <w:shd w:fill="F7F5F1" w:color="auto" w:val="clear"/>
            <w:tcMar>
              <w:top w:type="dxa" w:w="100"/>
              <w:left w:type="dxa" w:w="130"/>
              <w:bottom w:type="dxa" w:w="100"/>
              <w:right w:type="dxa" w:w="130"/>
            </w:tcMar>
          </w:tcPr>
          <w:p>
            <w:pPr>
              <w:spacing w:after="0"/>
            </w:pPr>
            <w:r>
              <w:rPr>
                <w:rFonts w:ascii="Arial" w:cs="Arial" w:eastAsia="Arial" w:hAnsi="Arial"/>
                <w:b/>
                <w:bCs/>
                <w:caps/>
                <w:color w:val="6B7280"/>
                <w:spacing w:val="20"/>
                <w:sz w:val="17"/>
                <w:szCs w:val="17"/>
              </w:rPr>
              <w:t xml:space="preserve">Theme</w:t>
            </w:r>
          </w:p>
        </w:tc>
        <w:tc>
          <w:tcPr>
            <w:tcW w:type="dxa" w:w="4480"/>
            <w:shd w:fill="F7F5F1" w:color="auto" w:val="clear"/>
            <w:tcMar>
              <w:top w:type="dxa" w:w="100"/>
              <w:left w:type="dxa" w:w="130"/>
              <w:bottom w:type="dxa" w:w="100"/>
              <w:right w:type="dxa" w:w="130"/>
            </w:tcMar>
          </w:tcPr>
          <w:p>
            <w:pPr>
              <w:spacing w:after="0"/>
            </w:pPr>
            <w:r>
              <w:rPr>
                <w:rFonts w:ascii="Arial" w:cs="Arial" w:eastAsia="Arial" w:hAnsi="Arial"/>
                <w:b/>
                <w:bCs/>
                <w:caps/>
                <w:color w:val="6B7280"/>
                <w:spacing w:val="20"/>
                <w:sz w:val="17"/>
                <w:szCs w:val="17"/>
              </w:rPr>
              <w:t xml:space="preserve">Contains</w:t>
            </w:r>
          </w:p>
        </w:tc>
      </w:tr>
      <w:tr>
        <w:trPr>
          <w:tblHeader w:val="false"/>
        </w:trPr>
        <w:tc>
          <w:tcPr>
            <w:tcW w:type="dxa" w:w="2240"/>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1 — Opportunity</w:t>
            </w:r>
          </w:p>
        </w:tc>
        <w:tc>
          <w:tcPr>
            <w:tcW w:type="dxa" w:w="3360"/>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Something has changed in their world</w:t>
            </w:r>
          </w:p>
        </w:tc>
        <w:tc>
          <w:tcPr>
            <w:tcW w:type="dxa" w:w="4480"/>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One genuinely useful teaching piece. Names the next problem it creates, which opens the loop.</w:t>
            </w:r>
          </w:p>
        </w:tc>
      </w:tr>
      <w:tr>
        <w:trPr>
          <w:tblHeader w:val="false"/>
        </w:trPr>
        <w:tc>
          <w:tcPr>
            <w:tcW w:type="dxa" w:w="2240"/>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2 — Transformation</w:t>
            </w:r>
          </w:p>
        </w:tc>
        <w:tc>
          <w:tcPr>
            <w:tcW w:type="dxa" w:w="3360"/>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What it looks like when it is solved</w:t>
            </w:r>
          </w:p>
        </w:tc>
        <w:tc>
          <w:tcPr>
            <w:tcW w:type="dxa" w:w="4480"/>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A specific client case with the constraint, the approach and the number. Closes the first loop.</w:t>
            </w:r>
          </w:p>
        </w:tc>
      </w:tr>
      <w:tr>
        <w:trPr>
          <w:tblHeader w:val="false"/>
        </w:trPr>
        <w:tc>
          <w:tcPr>
            <w:tcW w:type="dxa" w:w="2240"/>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3 — Ownership</w:t>
            </w:r>
          </w:p>
        </w:tc>
        <w:tc>
          <w:tcPr>
            <w:tcW w:type="dxa" w:w="3360"/>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What it is like to work this way</w:t>
            </w:r>
          </w:p>
        </w:tc>
        <w:tc>
          <w:tcPr>
            <w:tcW w:type="dxa" w:w="4480"/>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The day-to-day reality: who does what, what the client owns, what we own. Then the offer, plainly, once.</w:t>
            </w:r>
          </w:p>
        </w:tc>
      </w:tr>
    </w:tbl>
    <w:p>
      <w:pPr>
        <w:spacing w:after="120"/>
      </w:pPr>
      <w:r>
        <w:rPr>
          <w:rFonts w:ascii="Arial" w:cs="Arial" w:eastAsia="Arial" w:hAnsi="Arial"/>
          <w:sz w:val="16"/>
          <w:szCs w:val="16"/>
        </w:rPr>
        <w:t xml:space="preserve"/>
      </w:r>
    </w:p>
    <w:tbl>
      <w:tblPr>
        <w:tblW w:type="dxa" w:w="10080"/>
        <w:tblBorders>
          <w:top w:val="none"/>
          <w:left w:val="single" w:color="A8462F" w:sz="18"/>
          <w:bottom w:val="none"/>
          <w:right w:val="none"/>
          <w:insideH w:val="none"/>
          <w:insideV w:val="none"/>
        </w:tblBorders>
      </w:tblPr>
      <w:tblGrid>
        <w:gridCol w:w="10080"/>
      </w:tblGrid>
      <w:tr>
        <w:tc>
          <w:tcPr>
            <w:tcW w:type="dxa" w:w="10080"/>
            <w:shd w:fill="FAF1EE" w:color="auto" w:val="clear"/>
            <w:tcMar>
              <w:top w:type="dxa" w:w="140"/>
              <w:left w:type="dxa" w:w="180"/>
              <w:bottom w:type="dxa" w:w="140"/>
              <w:right w:type="dxa" w:w="160"/>
            </w:tcMar>
          </w:tcPr>
          <w:p>
            <w:pPr>
              <w:spacing w:after="0" w:before="0" w:line="276"/>
            </w:pPr>
            <w:r>
              <w:rPr>
                <w:rFonts w:ascii="Arial" w:cs="Arial" w:eastAsia="Arial" w:hAnsi="Arial"/>
                <w:color w:val="14181F"/>
                <w:sz w:val="19"/>
                <w:szCs w:val="19"/>
              </w:rPr>
              <w:t xml:space="preserve">No countdown timers, no expiring bonuses, no "last chance" on a date we invented. If there is a real constraint, such as a cohort that starts on a date or delivery capacity that is genuinely finite, state it and state why. If there is no real constraint, there is no deadline.</w:t>
            </w:r>
          </w:p>
        </w:tc>
      </w:tr>
    </w:tbl>
    <w:p>
      <w:r>
        <w:br w:type="page"/>
      </w:r>
    </w:p>
    <w:p>
      <w:pPr>
        <w:pStyle w:val="Heading2"/>
        <w:pBdr>
          <w:bottom w:val="single" w:color="B8801F" w:sz="6" w:space="8"/>
        </w:pBdr>
        <w:spacing w:after="140" w:before="400"/>
      </w:pPr>
      <w:r>
        <w:rPr>
          <w:rFonts w:ascii="Arial" w:cs="Arial" w:eastAsia="Arial" w:hAnsi="Arial"/>
          <w:b/>
          <w:bCs/>
          <w:color w:val="B8801F"/>
          <w:sz w:val="20"/>
          <w:szCs w:val="20"/>
        </w:rPr>
        <w:t xml:space="preserve">Worksheet 4  </w:t>
      </w:r>
      <w:r>
        <w:rPr>
          <w:rFonts w:ascii="Arial" w:cs="Arial" w:eastAsia="Arial" w:hAnsi="Arial"/>
          <w:b/>
          <w:bCs/>
          <w:color w:val="14181F"/>
          <w:sz w:val="28"/>
          <w:szCs w:val="28"/>
        </w:rPr>
        <w:t xml:space="preserve">Ad and landing copy</w:t>
      </w:r>
    </w:p>
    <w:p>
      <w:pPr>
        <w:spacing w:after="200" w:before="0" w:line="276"/>
      </w:pPr>
      <w:r>
        <w:rPr>
          <w:rFonts w:ascii="Arial" w:cs="Arial" w:eastAsia="Arial" w:hAnsi="Arial"/>
          <w:color w:val="6B7280"/>
          <w:sz w:val="20"/>
          <w:szCs w:val="20"/>
        </w:rPr>
        <w:t xml:space="preserve">Stage: Claim. Everything in this worksheet is downstream of one rule: no claim publishes without a source in the log at 4.4.</w:t>
      </w:r>
    </w:p>
    <w:p>
      <w:pPr>
        <w:pStyle w:val="Heading3"/>
        <w:spacing w:after="100" w:before="280"/>
      </w:pPr>
      <w:r>
        <w:rPr>
          <w:rFonts w:ascii="Arial" w:cs="Arial" w:eastAsia="Arial" w:hAnsi="Arial"/>
          <w:b/>
          <w:bCs/>
          <w:color w:val="14181F"/>
          <w:sz w:val="23"/>
          <w:szCs w:val="23"/>
        </w:rPr>
        <w:t xml:space="preserve">4.1  Hook patterns that hold up</w:t>
      </w:r>
    </w:p>
    <w:tbl>
      <w:tblPr>
        <w:tblW w:type="dxa" w:w="10080"/>
        <w:tblBorders>
          <w:top w:val="single" w:color="D8D5CE" w:sz="4"/>
          <w:left w:val="single" w:color="D8D5CE" w:sz="4"/>
          <w:bottom w:val="single" w:color="D8D5CE" w:sz="4"/>
          <w:right w:val="single" w:color="D8D5CE" w:sz="4"/>
          <w:insideH w:val="single" w:color="D8D5CE" w:sz="4"/>
          <w:insideV w:val="single" w:color="D8D5CE" w:sz="4"/>
        </w:tblBorders>
      </w:tblPr>
      <w:tblGrid>
        <w:gridCol w:w="4320"/>
        <w:gridCol w:w="5760"/>
      </w:tblGrid>
      <w:tr>
        <w:trPr>
          <w:tblHeader/>
        </w:trPr>
        <w:tc>
          <w:tcPr>
            <w:tcW w:type="dxa" w:w="4320"/>
            <w:shd w:fill="F7F5F1" w:color="auto" w:val="clear"/>
            <w:tcMar>
              <w:top w:type="dxa" w:w="100"/>
              <w:left w:type="dxa" w:w="130"/>
              <w:bottom w:type="dxa" w:w="100"/>
              <w:right w:type="dxa" w:w="130"/>
            </w:tcMar>
          </w:tcPr>
          <w:p>
            <w:pPr>
              <w:spacing w:after="0"/>
            </w:pPr>
            <w:r>
              <w:rPr>
                <w:rFonts w:ascii="Arial" w:cs="Arial" w:eastAsia="Arial" w:hAnsi="Arial"/>
                <w:b/>
                <w:bCs/>
                <w:caps/>
                <w:color w:val="6B7280"/>
                <w:spacing w:val="20"/>
                <w:sz w:val="17"/>
                <w:szCs w:val="17"/>
              </w:rPr>
              <w:t xml:space="preserve">Pattern</w:t>
            </w:r>
          </w:p>
        </w:tc>
        <w:tc>
          <w:tcPr>
            <w:tcW w:type="dxa" w:w="5760"/>
            <w:shd w:fill="F7F5F1" w:color="auto" w:val="clear"/>
            <w:tcMar>
              <w:top w:type="dxa" w:w="100"/>
              <w:left w:type="dxa" w:w="130"/>
              <w:bottom w:type="dxa" w:w="100"/>
              <w:right w:type="dxa" w:w="130"/>
            </w:tcMar>
          </w:tcPr>
          <w:p>
            <w:pPr>
              <w:spacing w:after="0"/>
            </w:pPr>
            <w:r>
              <w:rPr>
                <w:rFonts w:ascii="Arial" w:cs="Arial" w:eastAsia="Arial" w:hAnsi="Arial"/>
                <w:b/>
                <w:bCs/>
                <w:caps/>
                <w:color w:val="6B7280"/>
                <w:spacing w:val="20"/>
                <w:sz w:val="17"/>
                <w:szCs w:val="17"/>
              </w:rPr>
              <w:t xml:space="preserve">Why it works without overclaiming</w:t>
            </w:r>
          </w:p>
        </w:tc>
      </w:tr>
      <w:tr>
        <w:trPr>
          <w:tblHeader w:val="false"/>
        </w:trPr>
        <w:tc>
          <w:tcPr>
            <w:tcW w:type="dxa" w:w="4320"/>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How [specific role] does [specific task] without [the thing they hate]</w:t>
            </w:r>
          </w:p>
        </w:tc>
        <w:tc>
          <w:tcPr>
            <w:tcW w:type="dxa" w:w="5760"/>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Brunson's headline formula. Names the audience and the friction, promises a method and not an income.</w:t>
            </w:r>
          </w:p>
        </w:tc>
      </w:tr>
      <w:tr>
        <w:trPr>
          <w:tblHeader w:val="false"/>
        </w:trPr>
        <w:tc>
          <w:tcPr>
            <w:tcW w:type="dxa" w:w="4320"/>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The [number] things we found in [segment]'s [process] that nobody fixes</w:t>
            </w:r>
          </w:p>
        </w:tc>
        <w:tc>
          <w:tcPr>
            <w:tcW w:type="dxa" w:w="5760"/>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A finding, not a promise. Sets us up to prove competence in the session.</w:t>
            </w:r>
          </w:p>
        </w:tc>
      </w:tr>
      <w:tr>
        <w:trPr>
          <w:tblHeader w:val="false"/>
        </w:trPr>
        <w:tc>
          <w:tcPr>
            <w:tcW w:type="dxa" w:w="4320"/>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What [named category] gets wrong about [topic]</w:t>
            </w:r>
          </w:p>
        </w:tc>
        <w:tc>
          <w:tcPr>
            <w:tcW w:type="dxa" w:w="5760"/>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Common-enemy framing. Earns attention from practitioners and repels tourists.</w:t>
            </w:r>
          </w:p>
        </w:tc>
      </w:tr>
      <w:tr>
        <w:trPr>
          <w:tblHeader w:val="false"/>
        </w:trPr>
        <w:tc>
          <w:tcPr>
            <w:tcW w:type="dxa" w:w="4320"/>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We ran [specific thing] for [n] [segment] companies. Here is what happened.</w:t>
            </w:r>
          </w:p>
        </w:tc>
        <w:tc>
          <w:tcPr>
            <w:tcW w:type="dxa" w:w="5760"/>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Evidence-led. Only usable when it is true, which is the point.</w:t>
            </w:r>
          </w:p>
        </w:tc>
      </w:tr>
    </w:tbl>
    <w:p>
      <w:pPr>
        <w:spacing w:after="120"/>
      </w:pPr>
      <w:r>
        <w:rPr>
          <w:rFonts w:ascii="Arial" w:cs="Arial" w:eastAsia="Arial" w:hAnsi="Arial"/>
          <w:sz w:val="16"/>
          <w:szCs w:val="16"/>
        </w:rPr>
        <w:t xml:space="preserve"/>
      </w:r>
    </w:p>
    <w:tbl>
      <w:tblPr>
        <w:tblW w:type="dxa" w:w="10080"/>
        <w:tblBorders>
          <w:top w:val="none"/>
          <w:left w:val="single" w:color="A8462F" w:sz="18"/>
          <w:bottom w:val="none"/>
          <w:right w:val="none"/>
          <w:insideH w:val="none"/>
          <w:insideV w:val="none"/>
        </w:tblBorders>
      </w:tblPr>
      <w:tblGrid>
        <w:gridCol w:w="10080"/>
      </w:tblGrid>
      <w:tr>
        <w:tc>
          <w:tcPr>
            <w:tcW w:type="dxa" w:w="10080"/>
            <w:shd w:fill="FAF1EE" w:color="auto" w:val="clear"/>
            <w:tcMar>
              <w:top w:type="dxa" w:w="140"/>
              <w:left w:type="dxa" w:w="180"/>
              <w:bottom w:type="dxa" w:w="140"/>
              <w:right w:type="dxa" w:w="160"/>
            </w:tcMar>
          </w:tcPr>
          <w:p>
            <w:pPr>
              <w:spacing w:after="0" w:before="0" w:line="276"/>
            </w:pPr>
            <w:r>
              <w:rPr>
                <w:rFonts w:ascii="Arial" w:cs="Arial" w:eastAsia="Arial" w:hAnsi="Arial"/>
                <w:color w:val="14181F"/>
                <w:sz w:val="19"/>
                <w:szCs w:val="19"/>
              </w:rPr>
              <w:t xml:space="preserve">Never publishable: any income or revenue promise, any "guaranteed" result, any earnings screenshot, any before-and-after wealth framing. Meta's ad policy prohibits implying a specific financial result, and "pressure tactics claiming consumers must act immediately" is an enumerated FTC penalty offence. Two directly comparable judgments in this category ran to $14.1M and $21.8M.</w:t>
            </w:r>
          </w:p>
        </w:tc>
      </w:tr>
    </w:tbl>
    <w:p>
      <w:pPr>
        <w:pStyle w:val="Heading3"/>
        <w:spacing w:after="100" w:before="280"/>
      </w:pPr>
      <w:r>
        <w:rPr>
          <w:rFonts w:ascii="Arial" w:cs="Arial" w:eastAsia="Arial" w:hAnsi="Arial"/>
          <w:b/>
          <w:bCs/>
          <w:color w:val="14181F"/>
          <w:sz w:val="23"/>
          <w:szCs w:val="23"/>
        </w:rPr>
        <w:t xml:space="preserve">4.2  Registration page spec</w:t>
      </w:r>
    </w:p>
    <w:tbl>
      <w:tblPr>
        <w:tblW w:type="dxa" w:w="10080"/>
        <w:tblBorders>
          <w:top w:val="single" w:color="D8D5CE" w:sz="4"/>
          <w:left w:val="single" w:color="D8D5CE" w:sz="4"/>
          <w:bottom w:val="single" w:color="D8D5CE" w:sz="4"/>
          <w:right w:val="single" w:color="D8D5CE" w:sz="4"/>
          <w:insideH w:val="single" w:color="D8D5CE" w:sz="4"/>
          <w:insideV w:val="single" w:color="D8D5CE" w:sz="4"/>
        </w:tblBorders>
      </w:tblPr>
      <w:tblGrid>
        <w:gridCol w:w="4320"/>
        <w:gridCol w:w="5760"/>
      </w:tblGrid>
      <w:tr>
        <w:trPr>
          <w:tblHeader/>
        </w:trPr>
        <w:tc>
          <w:tcPr>
            <w:tcW w:type="dxa" w:w="4320"/>
            <w:shd w:fill="F7F5F1" w:color="auto" w:val="clear"/>
            <w:tcMar>
              <w:top w:type="dxa" w:w="100"/>
              <w:left w:type="dxa" w:w="130"/>
              <w:bottom w:type="dxa" w:w="100"/>
              <w:right w:type="dxa" w:w="130"/>
            </w:tcMar>
          </w:tcPr>
          <w:p>
            <w:pPr>
              <w:spacing w:after="0"/>
            </w:pPr>
            <w:r>
              <w:rPr>
                <w:rFonts w:ascii="Arial" w:cs="Arial" w:eastAsia="Arial" w:hAnsi="Arial"/>
                <w:b/>
                <w:bCs/>
                <w:caps/>
                <w:color w:val="6B7280"/>
                <w:spacing w:val="20"/>
                <w:sz w:val="17"/>
                <w:szCs w:val="17"/>
              </w:rPr>
              <w:t xml:space="preserve">Element</w:t>
            </w:r>
          </w:p>
        </w:tc>
        <w:tc>
          <w:tcPr>
            <w:tcW w:type="dxa" w:w="5760"/>
            <w:shd w:fill="F7F5F1" w:color="auto" w:val="clear"/>
            <w:tcMar>
              <w:top w:type="dxa" w:w="100"/>
              <w:left w:type="dxa" w:w="130"/>
              <w:bottom w:type="dxa" w:w="100"/>
              <w:right w:type="dxa" w:w="130"/>
            </w:tcMar>
          </w:tcPr>
          <w:p>
            <w:pPr>
              <w:spacing w:after="0"/>
            </w:pPr>
            <w:r>
              <w:rPr>
                <w:rFonts w:ascii="Arial" w:cs="Arial" w:eastAsia="Arial" w:hAnsi="Arial"/>
                <w:b/>
                <w:bCs/>
                <w:caps/>
                <w:color w:val="6B7280"/>
                <w:spacing w:val="20"/>
                <w:sz w:val="17"/>
                <w:szCs w:val="17"/>
              </w:rPr>
              <w:t xml:space="preserve">Standard</w:t>
            </w:r>
          </w:p>
        </w:tc>
      </w:tr>
      <w:tr>
        <w:trPr>
          <w:tblHeader w:val="false"/>
        </w:trPr>
        <w:tc>
          <w:tcPr>
            <w:tcW w:type="dxa" w:w="4320"/>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Form fields</w:t>
            </w:r>
          </w:p>
        </w:tc>
        <w:tc>
          <w:tcPr>
            <w:tcW w:type="dxa" w:w="5760"/>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Two. Name and work email. A two-field form converts around 34% better than a longer one, and the third field is where our data goes to die.</w:t>
            </w:r>
          </w:p>
        </w:tc>
      </w:tr>
      <w:tr>
        <w:trPr>
          <w:tblHeader w:val="false"/>
        </w:trPr>
        <w:tc>
          <w:tcPr>
            <w:tcW w:type="dxa" w:w="4320"/>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Attribution field</w:t>
            </w:r>
          </w:p>
        </w:tc>
        <w:tc>
          <w:tcPr>
            <w:tcW w:type="dxa" w:w="5760"/>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One open text field: "How did you hear about us?" Roughly 99% of self-reported answers differ from last-touch. This field is not optional on any IG form.</w:t>
            </w:r>
          </w:p>
        </w:tc>
      </w:tr>
      <w:tr>
        <w:trPr>
          <w:tblHeader w:val="false"/>
        </w:trPr>
        <w:tc>
          <w:tcPr>
            <w:tcW w:type="dxa" w:w="4320"/>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Headline</w:t>
            </w:r>
          </w:p>
        </w:tc>
        <w:tc>
          <w:tcPr>
            <w:tcW w:type="dxa" w:w="5760"/>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The session promise, verbatim from worksheet 2. Same words on the ad, the page and the first slide.</w:t>
            </w:r>
          </w:p>
        </w:tc>
      </w:tr>
      <w:tr>
        <w:trPr>
          <w:tblHeader w:val="false"/>
        </w:trPr>
        <w:tc>
          <w:tcPr>
            <w:tcW w:type="dxa" w:w="4320"/>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Running time</w:t>
            </w:r>
          </w:p>
        </w:tc>
        <w:tc>
          <w:tcPr>
            <w:tcW w:type="dxa" w:w="5760"/>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Stated. "40 minutes, and the replay is yours either way."</w:t>
            </w:r>
          </w:p>
        </w:tc>
      </w:tr>
      <w:tr>
        <w:trPr>
          <w:tblHeader w:val="false"/>
        </w:trPr>
        <w:tc>
          <w:tcPr>
            <w:tcW w:type="dxa" w:w="4320"/>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Proof</w:t>
            </w:r>
          </w:p>
        </w:tc>
        <w:tc>
          <w:tcPr>
            <w:tcW w:type="dxa" w:w="5760"/>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One named client or one specific finding. Not a logo wall.</w:t>
            </w:r>
          </w:p>
        </w:tc>
      </w:tr>
      <w:tr>
        <w:trPr>
          <w:tblHeader w:val="false"/>
        </w:trPr>
        <w:tc>
          <w:tcPr>
            <w:tcW w:type="dxa" w:w="4320"/>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Countdown timer</w:t>
            </w:r>
          </w:p>
        </w:tc>
        <w:tc>
          <w:tcPr>
            <w:tcW w:type="dxa" w:w="5760"/>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None. Ever.</w:t>
            </w:r>
          </w:p>
        </w:tc>
      </w:tr>
      <w:tr>
        <w:trPr>
          <w:tblHeader w:val="false"/>
        </w:trPr>
        <w:tc>
          <w:tcPr>
            <w:tcW w:type="dxa" w:w="4320"/>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Target conversion</w:t>
            </w:r>
          </w:p>
        </w:tc>
        <w:tc>
          <w:tcPr>
            <w:tcW w:type="dxa" w:w="5760"/>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38% baseline, 55%+ optimised, for a warm-sourced B2B registration page.</w:t>
            </w:r>
          </w:p>
        </w:tc>
      </w:tr>
    </w:tbl>
    <w:p>
      <w:pPr>
        <w:pStyle w:val="Heading3"/>
        <w:spacing w:after="100" w:before="280"/>
      </w:pPr>
      <w:r>
        <w:rPr>
          <w:rFonts w:ascii="Arial" w:cs="Arial" w:eastAsia="Arial" w:hAnsi="Arial"/>
          <w:b/>
          <w:bCs/>
          <w:color w:val="14181F"/>
          <w:sz w:val="23"/>
          <w:szCs w:val="23"/>
        </w:rPr>
        <w:t xml:space="preserve">4.3  Where registrations actually come from</w:t>
      </w:r>
    </w:p>
    <w:p>
      <w:pPr>
        <w:spacing w:after="120" w:before="0" w:line="276"/>
      </w:pPr>
      <w:r>
        <w:rPr>
          <w:rFonts w:ascii="Arial" w:cs="Arial" w:eastAsia="Arial" w:hAnsi="Arial"/>
          <w:color w:val="14181F"/>
          <w:sz w:val="21"/>
          <w:szCs w:val="21"/>
        </w:rPr>
        <w:t xml:space="preserve">Plan the mix before buying media. Owned email drives the majority in every measured dataset, which means the list is the asset and paid is the top-up.</w:t>
      </w:r>
    </w:p>
    <w:tbl>
      <w:tblPr>
        <w:tblW w:type="dxa" w:w="10080"/>
        <w:tblBorders>
          <w:top w:val="single" w:color="D8D5CE" w:sz="4"/>
          <w:left w:val="single" w:color="D8D5CE" w:sz="4"/>
          <w:bottom w:val="single" w:color="D8D5CE" w:sz="4"/>
          <w:right w:val="single" w:color="D8D5CE" w:sz="4"/>
          <w:insideH w:val="single" w:color="D8D5CE" w:sz="4"/>
          <w:insideV w:val="single" w:color="D8D5CE" w:sz="4"/>
        </w:tblBorders>
      </w:tblPr>
      <w:tblGrid>
        <w:gridCol w:w="3780"/>
        <w:gridCol w:w="2520"/>
        <w:gridCol w:w="3780"/>
      </w:tblGrid>
      <w:tr>
        <w:trPr>
          <w:tblHeader/>
        </w:trPr>
        <w:tc>
          <w:tcPr>
            <w:tcW w:type="dxa" w:w="3780"/>
            <w:shd w:fill="F7F5F1" w:color="auto" w:val="clear"/>
            <w:tcMar>
              <w:top w:type="dxa" w:w="100"/>
              <w:left w:type="dxa" w:w="130"/>
              <w:bottom w:type="dxa" w:w="100"/>
              <w:right w:type="dxa" w:w="130"/>
            </w:tcMar>
          </w:tcPr>
          <w:p>
            <w:pPr>
              <w:spacing w:after="0"/>
            </w:pPr>
            <w:r>
              <w:rPr>
                <w:rFonts w:ascii="Arial" w:cs="Arial" w:eastAsia="Arial" w:hAnsi="Arial"/>
                <w:b/>
                <w:bCs/>
                <w:caps/>
                <w:color w:val="6B7280"/>
                <w:spacing w:val="20"/>
                <w:sz w:val="17"/>
                <w:szCs w:val="17"/>
              </w:rPr>
              <w:t xml:space="preserve">Source</w:t>
            </w:r>
          </w:p>
        </w:tc>
        <w:tc>
          <w:tcPr>
            <w:tcW w:type="dxa" w:w="2520"/>
            <w:shd w:fill="F7F5F1" w:color="auto" w:val="clear"/>
            <w:tcMar>
              <w:top w:type="dxa" w:w="100"/>
              <w:left w:type="dxa" w:w="130"/>
              <w:bottom w:type="dxa" w:w="100"/>
              <w:right w:type="dxa" w:w="130"/>
            </w:tcMar>
          </w:tcPr>
          <w:p>
            <w:pPr>
              <w:spacing w:after="0"/>
            </w:pPr>
            <w:r>
              <w:rPr>
                <w:rFonts w:ascii="Arial" w:cs="Arial" w:eastAsia="Arial" w:hAnsi="Arial"/>
                <w:b/>
                <w:bCs/>
                <w:caps/>
                <w:color w:val="6B7280"/>
                <w:spacing w:val="20"/>
                <w:sz w:val="17"/>
                <w:szCs w:val="17"/>
              </w:rPr>
              <w:t xml:space="preserve">Cost per registration</w:t>
            </w:r>
          </w:p>
        </w:tc>
        <w:tc>
          <w:tcPr>
            <w:tcW w:type="dxa" w:w="3780"/>
            <w:shd w:fill="F7F5F1" w:color="auto" w:val="clear"/>
            <w:tcMar>
              <w:top w:type="dxa" w:w="100"/>
              <w:left w:type="dxa" w:w="130"/>
              <w:bottom w:type="dxa" w:w="100"/>
              <w:right w:type="dxa" w:w="130"/>
            </w:tcMar>
          </w:tcPr>
          <w:p>
            <w:pPr>
              <w:spacing w:after="0"/>
            </w:pPr>
            <w:r>
              <w:rPr>
                <w:rFonts w:ascii="Arial" w:cs="Arial" w:eastAsia="Arial" w:hAnsi="Arial"/>
                <w:b/>
                <w:bCs/>
                <w:caps/>
                <w:color w:val="6B7280"/>
                <w:spacing w:val="20"/>
                <w:sz w:val="17"/>
                <w:szCs w:val="17"/>
              </w:rPr>
              <w:t xml:space="preserve">Share of registrations</w:t>
            </w:r>
          </w:p>
        </w:tc>
      </w:tr>
      <w:tr>
        <w:trPr>
          <w:tblHeader w:val="false"/>
        </w:trPr>
        <w:tc>
          <w:tcPr>
            <w:tcW w:type="dxa" w:w="3780"/>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Owned email</w:t>
            </w:r>
          </w:p>
        </w:tc>
        <w:tc>
          <w:tcPr>
            <w:tcW w:type="dxa" w:w="2520"/>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$0 marginal</w:t>
            </w:r>
          </w:p>
        </w:tc>
        <w:tc>
          <w:tcPr>
            <w:tcW w:type="dxa" w:w="3780"/>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57–76%</w:t>
            </w:r>
          </w:p>
        </w:tc>
      </w:tr>
      <w:tr>
        <w:trPr>
          <w:tblHeader w:val="false"/>
        </w:trPr>
        <w:tc>
          <w:tcPr>
            <w:tcW w:type="dxa" w:w="3780"/>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Partner co-marketing</w:t>
            </w:r>
          </w:p>
        </w:tc>
        <w:tc>
          <w:tcPr>
            <w:tcW w:type="dxa" w:w="2520"/>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~$18</w:t>
            </w:r>
          </w:p>
        </w:tc>
        <w:tc>
          <w:tcPr>
            <w:tcW w:type="dxa" w:w="3780"/>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~8%</w:t>
            </w:r>
          </w:p>
        </w:tc>
      </w:tr>
      <w:tr>
        <w:trPr>
          <w:tblHeader w:val="false"/>
        </w:trPr>
        <w:tc>
          <w:tcPr>
            <w:tcW w:type="dxa" w:w="3780"/>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LinkedIn sponsored content</w:t>
            </w:r>
          </w:p>
        </w:tc>
        <w:tc>
          <w:tcPr>
            <w:tcW w:type="dxa" w:w="2520"/>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~$42</w:t>
            </w:r>
          </w:p>
        </w:tc>
        <w:tc>
          <w:tcPr>
            <w:tcW w:type="dxa" w:w="3780"/>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~14%</w:t>
            </w:r>
          </w:p>
        </w:tc>
      </w:tr>
      <w:tr>
        <w:trPr>
          <w:tblHeader w:val="false"/>
        </w:trPr>
        <w:tc>
          <w:tcPr>
            <w:tcW w:type="dxa" w:w="3780"/>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Paid search</w:t>
            </w:r>
          </w:p>
        </w:tc>
        <w:tc>
          <w:tcPr>
            <w:tcW w:type="dxa" w:w="2520"/>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~$78</w:t>
            </w:r>
          </w:p>
        </w:tc>
        <w:tc>
          <w:tcPr>
            <w:tcW w:type="dxa" w:w="3780"/>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varies</w:t>
            </w:r>
          </w:p>
        </w:tc>
      </w:tr>
      <w:tr>
        <w:trPr>
          <w:tblHeader w:val="false"/>
        </w:trPr>
        <w:tc>
          <w:tcPr>
            <w:tcW w:type="dxa" w:w="3780"/>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Programmatic display</w:t>
            </w:r>
          </w:p>
        </w:tc>
        <w:tc>
          <w:tcPr>
            <w:tcW w:type="dxa" w:w="2520"/>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~$96</w:t>
            </w:r>
          </w:p>
        </w:tc>
        <w:tc>
          <w:tcPr>
            <w:tcW w:type="dxa" w:w="3780"/>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low, usually not worth it</w:t>
            </w:r>
          </w:p>
        </w:tc>
      </w:tr>
    </w:tbl>
    <w:p>
      <w:pPr>
        <w:pStyle w:val="Heading3"/>
        <w:spacing w:after="100" w:before="280"/>
      </w:pPr>
      <w:r>
        <w:rPr>
          <w:rFonts w:ascii="Arial" w:cs="Arial" w:eastAsia="Arial" w:hAnsi="Arial"/>
          <w:b/>
          <w:bCs/>
          <w:color w:val="14181F"/>
          <w:sz w:val="23"/>
          <w:szCs w:val="23"/>
        </w:rPr>
        <w:t xml:space="preserve">4.4  Substantiation log</w:t>
      </w:r>
    </w:p>
    <w:p>
      <w:pPr>
        <w:spacing w:after="120" w:before="0" w:line="276"/>
      </w:pPr>
      <w:r>
        <w:rPr>
          <w:rFonts w:ascii="Arial" w:cs="Arial" w:eastAsia="Arial" w:hAnsi="Arial"/>
          <w:color w:val="14181F"/>
          <w:sz w:val="21"/>
          <w:szCs w:val="21"/>
        </w:rPr>
        <w:t xml:space="preserve">Every number, percentage, client result and superlative that reaches a customer gets a row here before it publishes. This is the standard under FTC Section 5 today and it does not depend on any pending rule.</w:t>
      </w:r>
    </w:p>
    <w:tbl>
      <w:tblPr>
        <w:tblW w:type="dxa" w:w="10080"/>
        <w:tblBorders>
          <w:top w:val="single" w:color="D8D5CE" w:sz="4"/>
          <w:left w:val="single" w:color="D8D5CE" w:sz="4"/>
          <w:bottom w:val="single" w:color="D8D5CE" w:sz="4"/>
          <w:right w:val="single" w:color="D8D5CE" w:sz="4"/>
          <w:insideH w:val="single" w:color="D8D5CE" w:sz="4"/>
          <w:insideV w:val="single" w:color="D8D5CE" w:sz="4"/>
        </w:tblBorders>
      </w:tblPr>
      <w:tblGrid>
        <w:gridCol w:w="3024"/>
        <w:gridCol w:w="3024"/>
        <w:gridCol w:w="2016"/>
        <w:gridCol w:w="2016"/>
      </w:tblGrid>
      <w:tr>
        <w:trPr>
          <w:tblHeader/>
        </w:trPr>
        <w:tc>
          <w:tcPr>
            <w:tcW w:type="dxa" w:w="3024"/>
            <w:shd w:fill="F7F5F1" w:color="auto" w:val="clear"/>
            <w:tcMar>
              <w:top w:type="dxa" w:w="100"/>
              <w:left w:type="dxa" w:w="130"/>
              <w:bottom w:type="dxa" w:w="100"/>
              <w:right w:type="dxa" w:w="130"/>
            </w:tcMar>
          </w:tcPr>
          <w:p>
            <w:pPr>
              <w:spacing w:after="0"/>
            </w:pPr>
            <w:r>
              <w:rPr>
                <w:rFonts w:ascii="Arial" w:cs="Arial" w:eastAsia="Arial" w:hAnsi="Arial"/>
                <w:b/>
                <w:bCs/>
                <w:caps/>
                <w:color w:val="6B7280"/>
                <w:spacing w:val="20"/>
                <w:sz w:val="17"/>
                <w:szCs w:val="17"/>
              </w:rPr>
              <w:t xml:space="preserve">Claim as published</w:t>
            </w:r>
          </w:p>
        </w:tc>
        <w:tc>
          <w:tcPr>
            <w:tcW w:type="dxa" w:w="3024"/>
            <w:shd w:fill="F7F5F1" w:color="auto" w:val="clear"/>
            <w:tcMar>
              <w:top w:type="dxa" w:w="100"/>
              <w:left w:type="dxa" w:w="130"/>
              <w:bottom w:type="dxa" w:w="100"/>
              <w:right w:type="dxa" w:w="130"/>
            </w:tcMar>
          </w:tcPr>
          <w:p>
            <w:pPr>
              <w:spacing w:after="0"/>
            </w:pPr>
            <w:r>
              <w:rPr>
                <w:rFonts w:ascii="Arial" w:cs="Arial" w:eastAsia="Arial" w:hAnsi="Arial"/>
                <w:b/>
                <w:bCs/>
                <w:caps/>
                <w:color w:val="6B7280"/>
                <w:spacing w:val="20"/>
                <w:sz w:val="17"/>
                <w:szCs w:val="17"/>
              </w:rPr>
              <w:t xml:space="preserve">Source</w:t>
            </w:r>
          </w:p>
        </w:tc>
        <w:tc>
          <w:tcPr>
            <w:tcW w:type="dxa" w:w="2016"/>
            <w:shd w:fill="F7F5F1" w:color="auto" w:val="clear"/>
            <w:tcMar>
              <w:top w:type="dxa" w:w="100"/>
              <w:left w:type="dxa" w:w="130"/>
              <w:bottom w:type="dxa" w:w="100"/>
              <w:right w:type="dxa" w:w="130"/>
            </w:tcMar>
          </w:tcPr>
          <w:p>
            <w:pPr>
              <w:spacing w:after="0"/>
            </w:pPr>
            <w:r>
              <w:rPr>
                <w:rFonts w:ascii="Arial" w:cs="Arial" w:eastAsia="Arial" w:hAnsi="Arial"/>
                <w:b/>
                <w:bCs/>
                <w:caps/>
                <w:color w:val="6B7280"/>
                <w:spacing w:val="20"/>
                <w:sz w:val="17"/>
                <w:szCs w:val="17"/>
              </w:rPr>
              <w:t xml:space="preserve">Date checked</w:t>
            </w:r>
          </w:p>
        </w:tc>
        <w:tc>
          <w:tcPr>
            <w:tcW w:type="dxa" w:w="2016"/>
            <w:shd w:fill="F7F5F1" w:color="auto" w:val="clear"/>
            <w:tcMar>
              <w:top w:type="dxa" w:w="100"/>
              <w:left w:type="dxa" w:w="130"/>
              <w:bottom w:type="dxa" w:w="100"/>
              <w:right w:type="dxa" w:w="130"/>
            </w:tcMar>
          </w:tcPr>
          <w:p>
            <w:pPr>
              <w:spacing w:after="0"/>
            </w:pPr>
            <w:r>
              <w:rPr>
                <w:rFonts w:ascii="Arial" w:cs="Arial" w:eastAsia="Arial" w:hAnsi="Arial"/>
                <w:b/>
                <w:bCs/>
                <w:caps/>
                <w:color w:val="6B7280"/>
                <w:spacing w:val="20"/>
                <w:sz w:val="17"/>
                <w:szCs w:val="17"/>
              </w:rPr>
              <w:t xml:space="preserve">Approved by</w:t>
            </w:r>
          </w:p>
        </w:tc>
      </w:tr>
      <w:tr>
        <w:trPr>
          <w:tblHeader w:val="false"/>
        </w:trPr>
        <w:tc>
          <w:tcPr>
            <w:tcW w:type="dxa" w:w="3024"/>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EXAMPLE — "38% of attendees become qualified within 14 days"</w:t>
            </w:r>
          </w:p>
        </w:tc>
        <w:tc>
          <w:tcPr>
            <w:tcW w:type="dxa" w:w="3024"/>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ON24 2025 Webinar Benchmarks</w:t>
            </w:r>
          </w:p>
        </w:tc>
        <w:tc>
          <w:tcPr>
            <w:tcW w:type="dxa" w:w="2016"/>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6 Sep 2026</w:t>
            </w:r>
          </w:p>
        </w:tc>
        <w:tc>
          <w:tcPr>
            <w:tcW w:type="dxa" w:w="2016"/>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w:t>
            </w:r>
          </w:p>
        </w:tc>
      </w:tr>
      <w:tr>
        <w:trPr>
          <w:tblHeader w:val="false"/>
        </w:trPr>
        <w:tc>
          <w:tcPr>
            <w:tcW w:type="dxa" w:w="3024"/>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
            </w:r>
          </w:p>
        </w:tc>
        <w:tc>
          <w:tcPr>
            <w:tcW w:type="dxa" w:w="3024"/>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
            </w:r>
          </w:p>
        </w:tc>
        <w:tc>
          <w:tcPr>
            <w:tcW w:type="dxa" w:w="2016"/>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
            </w:r>
          </w:p>
        </w:tc>
        <w:tc>
          <w:tcPr>
            <w:tcW w:type="dxa" w:w="2016"/>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
            </w:r>
          </w:p>
        </w:tc>
      </w:tr>
      <w:tr>
        <w:trPr>
          <w:tblHeader w:val="false"/>
        </w:trPr>
        <w:tc>
          <w:tcPr>
            <w:tcW w:type="dxa" w:w="3024"/>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
            </w:r>
          </w:p>
        </w:tc>
        <w:tc>
          <w:tcPr>
            <w:tcW w:type="dxa" w:w="3024"/>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
            </w:r>
          </w:p>
        </w:tc>
        <w:tc>
          <w:tcPr>
            <w:tcW w:type="dxa" w:w="2016"/>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
            </w:r>
          </w:p>
        </w:tc>
        <w:tc>
          <w:tcPr>
            <w:tcW w:type="dxa" w:w="2016"/>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
            </w:r>
          </w:p>
        </w:tc>
      </w:tr>
      <w:tr>
        <w:trPr>
          <w:tblHeader w:val="false"/>
        </w:trPr>
        <w:tc>
          <w:tcPr>
            <w:tcW w:type="dxa" w:w="3024"/>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
            </w:r>
          </w:p>
        </w:tc>
        <w:tc>
          <w:tcPr>
            <w:tcW w:type="dxa" w:w="3024"/>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
            </w:r>
          </w:p>
        </w:tc>
        <w:tc>
          <w:tcPr>
            <w:tcW w:type="dxa" w:w="2016"/>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
            </w:r>
          </w:p>
        </w:tc>
        <w:tc>
          <w:tcPr>
            <w:tcW w:type="dxa" w:w="2016"/>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
            </w:r>
          </w:p>
        </w:tc>
      </w:tr>
      <w:tr>
        <w:trPr>
          <w:tblHeader w:val="false"/>
        </w:trPr>
        <w:tc>
          <w:tcPr>
            <w:tcW w:type="dxa" w:w="3024"/>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
            </w:r>
          </w:p>
        </w:tc>
        <w:tc>
          <w:tcPr>
            <w:tcW w:type="dxa" w:w="3024"/>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
            </w:r>
          </w:p>
        </w:tc>
        <w:tc>
          <w:tcPr>
            <w:tcW w:type="dxa" w:w="2016"/>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
            </w:r>
          </w:p>
        </w:tc>
        <w:tc>
          <w:tcPr>
            <w:tcW w:type="dxa" w:w="2016"/>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
            </w:r>
          </w:p>
        </w:tc>
      </w:tr>
      <w:tr>
        <w:trPr>
          <w:tblHeader w:val="false"/>
        </w:trPr>
        <w:tc>
          <w:tcPr>
            <w:tcW w:type="dxa" w:w="3024"/>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
            </w:r>
          </w:p>
        </w:tc>
        <w:tc>
          <w:tcPr>
            <w:tcW w:type="dxa" w:w="3024"/>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
            </w:r>
          </w:p>
        </w:tc>
        <w:tc>
          <w:tcPr>
            <w:tcW w:type="dxa" w:w="2016"/>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
            </w:r>
          </w:p>
        </w:tc>
        <w:tc>
          <w:tcPr>
            <w:tcW w:type="dxa" w:w="2016"/>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
            </w:r>
          </w:p>
        </w:tc>
      </w:tr>
      <w:tr>
        <w:trPr>
          <w:tblHeader w:val="false"/>
        </w:trPr>
        <w:tc>
          <w:tcPr>
            <w:tcW w:type="dxa" w:w="3024"/>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
            </w:r>
          </w:p>
        </w:tc>
        <w:tc>
          <w:tcPr>
            <w:tcW w:type="dxa" w:w="3024"/>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
            </w:r>
          </w:p>
        </w:tc>
        <w:tc>
          <w:tcPr>
            <w:tcW w:type="dxa" w:w="2016"/>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
            </w:r>
          </w:p>
        </w:tc>
        <w:tc>
          <w:tcPr>
            <w:tcW w:type="dxa" w:w="2016"/>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
            </w:r>
          </w:p>
        </w:tc>
      </w:tr>
      <w:tr>
        <w:trPr>
          <w:tblHeader w:val="false"/>
        </w:trPr>
        <w:tc>
          <w:tcPr>
            <w:tcW w:type="dxa" w:w="3024"/>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
            </w:r>
          </w:p>
        </w:tc>
        <w:tc>
          <w:tcPr>
            <w:tcW w:type="dxa" w:w="3024"/>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
            </w:r>
          </w:p>
        </w:tc>
        <w:tc>
          <w:tcPr>
            <w:tcW w:type="dxa" w:w="2016"/>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
            </w:r>
          </w:p>
        </w:tc>
        <w:tc>
          <w:tcPr>
            <w:tcW w:type="dxa" w:w="2016"/>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
            </w:r>
          </w:p>
        </w:tc>
      </w:tr>
    </w:tbl>
    <w:p>
      <w:pPr>
        <w:spacing w:after="120"/>
      </w:pPr>
      <w:r>
        <w:rPr>
          <w:rFonts w:ascii="Arial" w:cs="Arial" w:eastAsia="Arial" w:hAnsi="Arial"/>
          <w:sz w:val="16"/>
          <w:szCs w:val="16"/>
        </w:rPr>
        <w:t xml:space="preserve"/>
      </w:r>
    </w:p>
    <w:p>
      <w:pPr>
        <w:pStyle w:val="Heading3"/>
        <w:spacing w:after="100" w:before="280"/>
      </w:pPr>
      <w:r>
        <w:rPr>
          <w:rFonts w:ascii="Arial" w:cs="Arial" w:eastAsia="Arial" w:hAnsi="Arial"/>
          <w:b/>
          <w:bCs/>
          <w:color w:val="14181F"/>
          <w:sz w:val="23"/>
          <w:szCs w:val="23"/>
        </w:rPr>
        <w:t xml:space="preserve">4.5  Testimonial process</w:t>
      </w:r>
    </w:p>
    <w:p>
      <w:pPr>
        <w:pStyle w:val="ListParagraph"/>
        <w:numPr>
          <w:ilvl w:val="0"/>
          <w:numId w:val="1"/>
        </w:numPr>
        <w:spacing w:after="70" w:line="270"/>
      </w:pPr>
      <w:r>
        <w:rPr>
          <w:rFonts w:ascii="Arial" w:cs="Arial" w:eastAsia="Arial" w:hAnsi="Arial"/>
          <w:color w:val="14181F"/>
          <w:sz w:val="21"/>
          <w:szCs w:val="21"/>
        </w:rPr>
        <w:t xml:space="preserve">Written consent obtained after the result, never at the point of sale.</w:t>
      </w:r>
    </w:p>
    <w:p>
      <w:pPr>
        <w:pStyle w:val="ListParagraph"/>
        <w:numPr>
          <w:ilvl w:val="0"/>
          <w:numId w:val="1"/>
        </w:numPr>
        <w:spacing w:after="70" w:line="270"/>
      </w:pPr>
      <w:r>
        <w:rPr>
          <w:rFonts w:ascii="Arial" w:cs="Arial" w:eastAsia="Arial" w:hAnsi="Arial"/>
          <w:color w:val="14181F"/>
          <w:sz w:val="21"/>
          <w:szCs w:val="21"/>
        </w:rPr>
        <w:t xml:space="preserve">Any material connection disclosed: employee, relative, equity holder, discount received.</w:t>
      </w:r>
    </w:p>
    <w:p>
      <w:pPr>
        <w:pStyle w:val="ListParagraph"/>
        <w:numPr>
          <w:ilvl w:val="0"/>
          <w:numId w:val="1"/>
        </w:numPr>
        <w:spacing w:after="70" w:line="270"/>
      </w:pPr>
      <w:r>
        <w:rPr>
          <w:rFonts w:ascii="Arial" w:cs="Arial" w:eastAsia="Arial" w:hAnsi="Arial"/>
          <w:color w:val="14181F"/>
          <w:sz w:val="21"/>
          <w:szCs w:val="21"/>
        </w:rPr>
        <w:t xml:space="preserve">No incentive of any kind conditioned on the testimonial being positive.</w:t>
      </w:r>
    </w:p>
    <w:p>
      <w:pPr>
        <w:pStyle w:val="ListParagraph"/>
        <w:numPr>
          <w:ilvl w:val="0"/>
          <w:numId w:val="1"/>
        </w:numPr>
        <w:spacing w:after="70" w:line="270"/>
      </w:pPr>
      <w:r>
        <w:rPr>
          <w:rFonts w:ascii="Arial" w:cs="Arial" w:eastAsia="Arial" w:hAnsi="Arial"/>
          <w:color w:val="14181F"/>
          <w:sz w:val="21"/>
          <w:szCs w:val="21"/>
        </w:rPr>
        <w:t xml:space="preserve">Never publish an invented or composite testimonial, with or without a disclaimer. A disclaimer that contradicts the headline documents intent.</w:t>
      </w:r>
    </w:p>
    <w:p>
      <w:pPr>
        <w:pStyle w:val="ListParagraph"/>
        <w:numPr>
          <w:ilvl w:val="0"/>
          <w:numId w:val="1"/>
        </w:numPr>
        <w:spacing w:after="70" w:line="270"/>
      </w:pPr>
      <w:r>
        <w:rPr>
          <w:rFonts w:ascii="Arial" w:cs="Arial" w:eastAsia="Arial" w:hAnsi="Arial"/>
          <w:color w:val="14181F"/>
          <w:sz w:val="21"/>
          <w:szCs w:val="21"/>
        </w:rPr>
        <w:t xml:space="preserve">The client's own words. If we wrote it and they approved it, say so.</w:t>
      </w:r>
    </w:p>
    <w:p>
      <w:r>
        <w:br w:type="page"/>
      </w:r>
    </w:p>
    <w:p>
      <w:pPr>
        <w:pStyle w:val="Heading2"/>
        <w:pBdr>
          <w:bottom w:val="single" w:color="B8801F" w:sz="6" w:space="8"/>
        </w:pBdr>
        <w:spacing w:after="140" w:before="400"/>
      </w:pPr>
      <w:r>
        <w:rPr>
          <w:rFonts w:ascii="Arial" w:cs="Arial" w:eastAsia="Arial" w:hAnsi="Arial"/>
          <w:b/>
          <w:bCs/>
          <w:color w:val="B8801F"/>
          <w:sz w:val="20"/>
          <w:szCs w:val="20"/>
        </w:rPr>
        <w:t xml:space="preserve">Worksheet 5  </w:t>
      </w:r>
      <w:r>
        <w:rPr>
          <w:rFonts w:ascii="Arial" w:cs="Arial" w:eastAsia="Arial" w:hAnsi="Arial"/>
          <w:b/>
          <w:bCs/>
          <w:color w:val="14181F"/>
          <w:sz w:val="28"/>
          <w:szCs w:val="28"/>
        </w:rPr>
        <w:t xml:space="preserve">Pre-publish gate</w:t>
      </w:r>
    </w:p>
    <w:p>
      <w:pPr>
        <w:spacing w:after="120" w:before="0" w:line="276"/>
      </w:pPr>
      <w:r>
        <w:rPr>
          <w:rFonts w:ascii="Arial" w:cs="Arial" w:eastAsia="Arial" w:hAnsi="Arial"/>
          <w:color w:val="6B7280"/>
          <w:sz w:val="20"/>
          <w:szCs w:val="20"/>
        </w:rPr>
        <w:t xml:space="preserve">Stage: Receipts. Run this before any asset reaches a customer, ours or a client's. It applies to campaign work generally and not only to sessions: any page, ad, deck or email that carries a number, a testimonial or a deadline goes through it. One person signs it.</w:t>
      </w:r>
    </w:p>
    <w:p>
      <w:pPr>
        <w:spacing w:after="200" w:before="0" w:line="276"/>
      </w:pPr>
      <w:r>
        <w:rPr>
          <w:rFonts w:ascii="Arial" w:cs="Arial" w:eastAsia="Arial" w:hAnsi="Arial"/>
          <w:color w:val="6B7280"/>
          <w:sz w:val="20"/>
          <w:szCs w:val="20"/>
        </w:rPr>
        <w:t xml:space="preserve">The live version of this checklist and the substantiation log is the Receipts page, which keeps a shared record across the team. This printed copy is for working offline or for handing to a client team.</w:t>
      </w:r>
    </w:p>
    <w:tbl>
      <w:tblPr>
        <w:tblW w:type="dxa" w:w="10080"/>
        <w:tblBorders>
          <w:top w:val="single" w:color="D8D5CE" w:sz="4"/>
          <w:left w:val="single" w:color="D8D5CE" w:sz="4"/>
          <w:bottom w:val="single" w:color="D8D5CE" w:sz="4"/>
          <w:right w:val="single" w:color="D8D5CE" w:sz="4"/>
          <w:insideH w:val="single" w:color="D8D5CE" w:sz="4"/>
          <w:insideV w:val="single" w:color="D8D5CE" w:sz="4"/>
        </w:tblBorders>
      </w:tblPr>
      <w:tblGrid>
        <w:gridCol w:w="7200"/>
        <w:gridCol w:w="2880"/>
      </w:tblGrid>
      <w:tr>
        <w:trPr>
          <w:tblHeader/>
        </w:trPr>
        <w:tc>
          <w:tcPr>
            <w:tcW w:type="dxa" w:w="7200"/>
            <w:shd w:fill="F7F5F1" w:color="auto" w:val="clear"/>
            <w:tcMar>
              <w:top w:type="dxa" w:w="100"/>
              <w:left w:type="dxa" w:w="130"/>
              <w:bottom w:type="dxa" w:w="100"/>
              <w:right w:type="dxa" w:w="130"/>
            </w:tcMar>
          </w:tcPr>
          <w:p>
            <w:pPr>
              <w:spacing w:after="0"/>
            </w:pPr>
            <w:r>
              <w:rPr>
                <w:rFonts w:ascii="Arial" w:cs="Arial" w:eastAsia="Arial" w:hAnsi="Arial"/>
                <w:b/>
                <w:bCs/>
                <w:caps/>
                <w:color w:val="6B7280"/>
                <w:spacing w:val="20"/>
                <w:sz w:val="17"/>
                <w:szCs w:val="17"/>
              </w:rPr>
              <w:t xml:space="preserve">Check</w:t>
            </w:r>
          </w:p>
        </w:tc>
        <w:tc>
          <w:tcPr>
            <w:tcW w:type="dxa" w:w="2880"/>
            <w:shd w:fill="F7F5F1" w:color="auto" w:val="clear"/>
            <w:tcMar>
              <w:top w:type="dxa" w:w="100"/>
              <w:left w:type="dxa" w:w="130"/>
              <w:bottom w:type="dxa" w:w="100"/>
              <w:right w:type="dxa" w:w="130"/>
            </w:tcMar>
          </w:tcPr>
          <w:p>
            <w:pPr>
              <w:spacing w:after="0"/>
            </w:pPr>
            <w:r>
              <w:rPr>
                <w:rFonts w:ascii="Arial" w:cs="Arial" w:eastAsia="Arial" w:hAnsi="Arial"/>
                <w:b/>
                <w:bCs/>
                <w:caps/>
                <w:color w:val="6B7280"/>
                <w:spacing w:val="20"/>
                <w:sz w:val="17"/>
                <w:szCs w:val="17"/>
              </w:rPr>
              <w:t xml:space="preserve">Pass</w:t>
            </w:r>
          </w:p>
        </w:tc>
      </w:tr>
      <w:tr>
        <w:trPr>
          <w:tblHeader w:val="false"/>
        </w:trPr>
        <w:tc>
          <w:tcPr>
            <w:tcW w:type="dxa" w:w="7200"/>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Every number in the asset has a row in the substantiation log with a source and a date</w:t>
            </w:r>
          </w:p>
        </w:tc>
        <w:tc>
          <w:tcPr>
            <w:tcW w:type="dxa" w:w="2880"/>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w:t>
            </w:r>
          </w:p>
        </w:tc>
      </w:tr>
      <w:tr>
        <w:trPr>
          <w:tblHeader w:val="false"/>
        </w:trPr>
        <w:tc>
          <w:tcPr>
            <w:tcW w:type="dxa" w:w="7200"/>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No income, revenue or earnings claim appears anywhere, including in a testimonial</w:t>
            </w:r>
          </w:p>
        </w:tc>
        <w:tc>
          <w:tcPr>
            <w:tcW w:type="dxa" w:w="2880"/>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w:t>
            </w:r>
          </w:p>
        </w:tc>
      </w:tr>
      <w:tr>
        <w:trPr>
          <w:tblHeader w:val="false"/>
        </w:trPr>
        <w:tc>
          <w:tcPr>
            <w:tcW w:type="dxa" w:w="7200"/>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No countdown timer, and no scarcity claim that is not literally true</w:t>
            </w:r>
          </w:p>
        </w:tc>
        <w:tc>
          <w:tcPr>
            <w:tcW w:type="dxa" w:w="2880"/>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w:t>
            </w:r>
          </w:p>
        </w:tc>
      </w:tr>
      <w:tr>
        <w:trPr>
          <w:tblHeader w:val="false"/>
        </w:trPr>
        <w:tc>
          <w:tcPr>
            <w:tcW w:type="dxa" w:w="7200"/>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Any scarcity or deadline states its reason why, and the reason is checkable</w:t>
            </w:r>
          </w:p>
        </w:tc>
        <w:tc>
          <w:tcPr>
            <w:tcW w:type="dxa" w:w="2880"/>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w:t>
            </w:r>
          </w:p>
        </w:tc>
      </w:tr>
      <w:tr>
        <w:trPr>
          <w:tblHeader w:val="false"/>
        </w:trPr>
        <w:tc>
          <w:tcPr>
            <w:tcW w:type="dxa" w:w="7200"/>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No invented, composite or unattributed testimonial, and no "illustrative" social proof</w:t>
            </w:r>
          </w:p>
        </w:tc>
        <w:tc>
          <w:tcPr>
            <w:tcW w:type="dxa" w:w="2880"/>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w:t>
            </w:r>
          </w:p>
        </w:tc>
      </w:tr>
      <w:tr>
        <w:trPr>
          <w:tblHeader w:val="false"/>
        </w:trPr>
        <w:tc>
          <w:tcPr>
            <w:tcW w:type="dxa" w:w="7200"/>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Every testimonial has post-result written consent on file</w:t>
            </w:r>
          </w:p>
        </w:tc>
        <w:tc>
          <w:tcPr>
            <w:tcW w:type="dxa" w:w="2880"/>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w:t>
            </w:r>
          </w:p>
        </w:tc>
      </w:tr>
      <w:tr>
        <w:trPr>
          <w:tblHeader w:val="false"/>
        </w:trPr>
        <w:tc>
          <w:tcPr>
            <w:tcW w:type="dxa" w:w="7200"/>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Material connections disclosed on any endorsement</w:t>
            </w:r>
          </w:p>
        </w:tc>
        <w:tc>
          <w:tcPr>
            <w:tcW w:type="dxa" w:w="2880"/>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w:t>
            </w:r>
          </w:p>
        </w:tc>
      </w:tr>
      <w:tr>
        <w:trPr>
          <w:tblHeader w:val="false"/>
        </w:trPr>
        <w:tc>
          <w:tcPr>
            <w:tcW w:type="dxa" w:w="7200"/>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No media logo appears unless we can link the article</w:t>
            </w:r>
          </w:p>
        </w:tc>
        <w:tc>
          <w:tcPr>
            <w:tcW w:type="dxa" w:w="2880"/>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w:t>
            </w:r>
          </w:p>
        </w:tc>
      </w:tr>
      <w:tr>
        <w:trPr>
          <w:tblHeader w:val="false"/>
        </w:trPr>
        <w:tc>
          <w:tcPr>
            <w:tcW w:type="dxa" w:w="7200"/>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Any recorded session is labelled as a recording, and no chat is simulated</w:t>
            </w:r>
          </w:p>
        </w:tc>
        <w:tc>
          <w:tcPr>
            <w:tcW w:type="dxa" w:w="2880"/>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w:t>
            </w:r>
          </w:p>
        </w:tc>
      </w:tr>
      <w:tr>
        <w:trPr>
          <w:tblHeader w:val="false"/>
        </w:trPr>
        <w:tc>
          <w:tcPr>
            <w:tcW w:type="dxa" w:w="7200"/>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Replay access is unconditional</w:t>
            </w:r>
          </w:p>
        </w:tc>
        <w:tc>
          <w:tcPr>
            <w:tcW w:type="dxa" w:w="2880"/>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w:t>
            </w:r>
          </w:p>
        </w:tc>
      </w:tr>
      <w:tr>
        <w:trPr>
          <w:tblHeader w:val="false"/>
        </w:trPr>
        <w:tc>
          <w:tcPr>
            <w:tcW w:type="dxa" w:w="7200"/>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Bonus and component values, if shown, are real prices we actually charge</w:t>
            </w:r>
          </w:p>
        </w:tc>
        <w:tc>
          <w:tcPr>
            <w:tcW w:type="dxa" w:w="2880"/>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w:t>
            </w:r>
          </w:p>
        </w:tc>
      </w:tr>
      <w:tr>
        <w:trPr>
          <w:tblHeader w:val="false"/>
        </w:trPr>
        <w:tc>
          <w:tcPr>
            <w:tcW w:type="dxa" w:w="7200"/>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The guarantee has been read by whoever must honour it</w:t>
            </w:r>
          </w:p>
        </w:tc>
        <w:tc>
          <w:tcPr>
            <w:tcW w:type="dxa" w:w="2880"/>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w:t>
            </w:r>
          </w:p>
        </w:tc>
      </w:tr>
      <w:tr>
        <w:trPr>
          <w:tblHeader w:val="false"/>
        </w:trPr>
        <w:tc>
          <w:tcPr>
            <w:tcW w:type="dxa" w:w="7200"/>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Self-reported attribution field present on every form</w:t>
            </w:r>
          </w:p>
        </w:tc>
        <w:tc>
          <w:tcPr>
            <w:tcW w:type="dxa" w:w="2880"/>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w:t>
            </w:r>
          </w:p>
        </w:tc>
      </w:tr>
      <w:tr>
        <w:trPr>
          <w:tblHeader w:val="false"/>
        </w:trPr>
        <w:tc>
          <w:tcPr>
            <w:tcW w:type="dxa" w:w="7200"/>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Pricing shown inclusive of tax, or tax disclosed before checkout</w:t>
            </w:r>
          </w:p>
        </w:tc>
        <w:tc>
          <w:tcPr>
            <w:tcW w:type="dxa" w:w="2880"/>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w:t>
            </w:r>
          </w:p>
        </w:tc>
      </w:tr>
    </w:tbl>
    <w:p>
      <w:pPr>
        <w:spacing w:after="120"/>
      </w:pPr>
      <w:r>
        <w:rPr>
          <w:rFonts w:ascii="Arial" w:cs="Arial" w:eastAsia="Arial" w:hAnsi="Arial"/>
          <w:sz w:val="16"/>
          <w:szCs w:val="16"/>
        </w:rPr>
        <w:t xml:space="preserve"/>
      </w:r>
    </w:p>
    <w:p>
      <w:pPr>
        <w:spacing w:after="40" w:before="140"/>
      </w:pPr>
      <w:r>
        <w:rPr>
          <w:rFonts w:ascii="Arial" w:cs="Arial" w:eastAsia="Arial" w:hAnsi="Arial"/>
          <w:b/>
          <w:bCs/>
          <w:caps/>
          <w:color w:val="6B7280"/>
          <w:spacing w:val="20"/>
          <w:sz w:val="18"/>
          <w:szCs w:val="18"/>
        </w:rPr>
        <w:t xml:space="preserve">Signed off by, and date</w:t>
      </w:r>
    </w:p>
    <w:p>
      <w:pPr>
        <w:pBdr>
          <w:bottom w:val="single" w:color="D8D5CE" w:sz="4" w:space="8"/>
        </w:pBdr>
        <w:spacing w:after="100"/>
      </w:pPr>
      <w:r>
        <w:rPr>
          <w:rFonts w:ascii="Arial" w:cs="Arial" w:eastAsia="Arial" w:hAnsi="Arial"/>
          <w:sz w:val="21"/>
          <w:szCs w:val="21"/>
        </w:rPr>
        <w:t xml:space="preserve"> </w:t>
      </w:r>
    </w:p>
    <w:p>
      <w:pPr>
        <w:spacing w:after="120"/>
      </w:pPr>
      <w:r>
        <w:rPr>
          <w:rFonts w:ascii="Arial" w:cs="Arial" w:eastAsia="Arial" w:hAnsi="Arial"/>
          <w:sz w:val="16"/>
          <w:szCs w:val="16"/>
        </w:rPr>
        <w:t xml:space="preserve"/>
      </w:r>
    </w:p>
    <w:tbl>
      <w:tblPr>
        <w:tblW w:type="dxa" w:w="10080"/>
        <w:tblBorders>
          <w:top w:val="none"/>
          <w:left w:val="single" w:color="B8801F" w:sz="18"/>
          <w:bottom w:val="none"/>
          <w:right w:val="none"/>
          <w:insideH w:val="none"/>
          <w:insideV w:val="none"/>
        </w:tblBorders>
      </w:tblPr>
      <w:tblGrid>
        <w:gridCol w:w="10080"/>
      </w:tblGrid>
      <w:tr>
        <w:tc>
          <w:tcPr>
            <w:tcW w:type="dxa" w:w="10080"/>
            <w:shd w:fill="F7F5F1" w:color="auto" w:val="clear"/>
            <w:tcMar>
              <w:top w:type="dxa" w:w="140"/>
              <w:left w:type="dxa" w:w="180"/>
              <w:bottom w:type="dxa" w:w="140"/>
              <w:right w:type="dxa" w:w="160"/>
            </w:tcMar>
          </w:tcPr>
          <w:p>
            <w:pPr>
              <w:spacing w:after="0" w:before="0" w:line="276"/>
            </w:pPr>
            <w:r>
              <w:rPr>
                <w:rFonts w:ascii="Arial" w:cs="Arial" w:eastAsia="Arial" w:hAnsi="Arial"/>
                <w:color w:val="14181F"/>
                <w:sz w:val="19"/>
                <w:szCs w:val="19"/>
              </w:rPr>
              <w:t xml:space="preserve">If a check fails, the fix is to change the asset. It is never to add a disclaimer. The operation this framework was built by reverse-engineering had disclaimers on everything, and the disclaimers are the clearest evidence against it.</w:t>
            </w:r>
          </w:p>
        </w:tc>
      </w:tr>
    </w:tbl>
    <w:p>
      <w:r>
        <w:br w:type="page"/>
      </w:r>
    </w:p>
    <w:p>
      <w:pPr>
        <w:pStyle w:val="Heading2"/>
        <w:pBdr>
          <w:bottom w:val="single" w:color="B8801F" w:sz="6" w:space="8"/>
        </w:pBdr>
        <w:spacing w:after="140" w:before="400"/>
      </w:pPr>
      <w:r>
        <w:rPr>
          <w:rFonts w:ascii="Arial" w:cs="Arial" w:eastAsia="Arial" w:hAnsi="Arial"/>
          <w:b/>
          <w:bCs/>
          <w:color w:val="B8801F"/>
          <w:sz w:val="20"/>
          <w:szCs w:val="20"/>
        </w:rPr>
        <w:t xml:space="preserve">Worksheet 6  </w:t>
      </w:r>
      <w:r>
        <w:rPr>
          <w:rFonts w:ascii="Arial" w:cs="Arial" w:eastAsia="Arial" w:hAnsi="Arial"/>
          <w:b/>
          <w:bCs/>
          <w:color w:val="14181F"/>
          <w:sz w:val="28"/>
          <w:szCs w:val="28"/>
        </w:rPr>
        <w:t xml:space="preserve">The three-week cohort</w:t>
      </w:r>
    </w:p>
    <w:p>
      <w:pPr>
        <w:spacing w:after="180" w:before="0" w:line="276"/>
      </w:pPr>
      <w:r>
        <w:rPr>
          <w:rFonts w:ascii="Arial" w:cs="Arial" w:eastAsia="Arial" w:hAnsi="Arial"/>
          <w:color w:val="6B7280"/>
          <w:sz w:val="20"/>
          <w:szCs w:val="20"/>
        </w:rPr>
        <w:t xml:space="preserve">Stage: Room, extended. The mid-rung version of the teaching session: three working sessions across three weeks, each producing an artifact the participant owns. This is our answer to the three-day challenge, and the differences are structural rather than cosmetic.</w:t>
      </w:r>
    </w:p>
    <w:tbl>
      <w:tblPr>
        <w:tblW w:type="dxa" w:w="10080"/>
        <w:tblBorders>
          <w:top w:val="none"/>
          <w:left w:val="single" w:color="B8801F" w:sz="18"/>
          <w:bottom w:val="none"/>
          <w:right w:val="none"/>
          <w:insideH w:val="none"/>
          <w:insideV w:val="none"/>
        </w:tblBorders>
      </w:tblPr>
      <w:tblGrid>
        <w:gridCol w:w="10080"/>
      </w:tblGrid>
      <w:tr>
        <w:tc>
          <w:tcPr>
            <w:tcW w:type="dxa" w:w="10080"/>
            <w:shd w:fill="F7F5F1" w:color="auto" w:val="clear"/>
            <w:tcMar>
              <w:top w:type="dxa" w:w="140"/>
              <w:left w:type="dxa" w:w="180"/>
              <w:bottom w:type="dxa" w:w="140"/>
              <w:right w:type="dxa" w:w="160"/>
            </w:tcMar>
          </w:tcPr>
          <w:p>
            <w:pPr>
              <w:spacing w:after="0" w:before="0" w:line="276"/>
            </w:pPr>
            <w:r>
              <w:rPr>
                <w:rFonts w:ascii="Arial" w:cs="Arial" w:eastAsia="Arial" w:hAnsi="Arial"/>
                <w:color w:val="14181F"/>
                <w:sz w:val="19"/>
                <w:szCs w:val="19"/>
              </w:rPr>
              <w:t xml:space="preserve">The headline difference is the calendar. Their format runs three consecutive days. Ours runs three consecutive weeks, and that single change is the most defensible thing about it in front of a sceptical buyer.</w:t>
            </w:r>
          </w:p>
        </w:tc>
      </w:tr>
    </w:tbl>
    <w:p>
      <w:pPr>
        <w:pStyle w:val="Heading3"/>
        <w:spacing w:after="100" w:before="280"/>
      </w:pPr>
      <w:r>
        <w:rPr>
          <w:rFonts w:ascii="Arial" w:cs="Arial" w:eastAsia="Arial" w:hAnsi="Arial"/>
          <w:b/>
          <w:bCs/>
          <w:color w:val="14181F"/>
          <w:sz w:val="23"/>
          <w:szCs w:val="23"/>
        </w:rPr>
        <w:t xml:space="preserve">6.1  Why weekly, and why that matters commercially</w:t>
      </w:r>
    </w:p>
    <w:p>
      <w:pPr>
        <w:spacing w:after="120" w:before="0" w:line="276"/>
      </w:pPr>
      <w:r>
        <w:rPr>
          <w:rFonts w:ascii="Arial" w:cs="Arial" w:eastAsia="Arial" w:hAnsi="Arial"/>
          <w:color w:val="14181F"/>
          <w:sz w:val="21"/>
          <w:szCs w:val="21"/>
        </w:rPr>
        <w:t xml:space="preserve">Cepeda and colleagues ran 1,354 participants across 26 combinations of study gap and retention interval, with gaps from zero to 105 days. The finding that governs this design: the optimal gap between sessions is roughly 20% of the delay at which you want the material to still be working. If a client needs the method alive 60 to 90 days after the programme, the ideal gap is nine to eighteen days. At the longest retention intervals, optimal spacing produced 77% better recall than a zero-day gap with study time held constant.</w:t>
      </w:r>
    </w:p>
    <w:p>
      <w:pPr>
        <w:spacing w:after="120" w:before="0" w:line="276"/>
      </w:pPr>
      <w:r>
        <w:rPr>
          <w:rFonts w:ascii="Arial" w:cs="Arial" w:eastAsia="Arial" w:hAnsi="Arial"/>
          <w:color w:val="14181F"/>
          <w:sz w:val="21"/>
          <w:szCs w:val="21"/>
        </w:rPr>
        <w:t xml:space="preserve">Three consecutive days is near-massed practice. It is close to the worst available spacing for anything intended to survive the week it was taught. It exists to serve a cart close, not a learner.</w:t>
      </w:r>
    </w:p>
    <w:p>
      <w:pPr>
        <w:spacing w:after="160" w:before="0" w:line="276"/>
      </w:pPr>
      <w:r>
        <w:rPr>
          <w:rFonts w:ascii="Arial" w:cs="Arial" w:eastAsia="Arial" w:hAnsi="Arial"/>
          <w:color w:val="14181F"/>
          <w:sz w:val="21"/>
          <w:szCs w:val="21"/>
        </w:rPr>
        <w:t xml:space="preserve">A weekly cadence also lands every between-session retrieval event inside the one-to-six-day window where the testing effect is largest: a meta-analysis of 272 effects from 188 experiments found g = 0.82 in that window against 0.56 for a same-day gap. And it matches how executive education already spaces itself, which is a useful thing to be able to point at.</w:t>
      </w:r>
    </w:p>
    <w:tbl>
      <w:tblPr>
        <w:tblW w:type="dxa" w:w="10080"/>
        <w:tblBorders>
          <w:top w:val="none"/>
          <w:left w:val="single" w:color="A8462F" w:sz="18"/>
          <w:bottom w:val="none"/>
          <w:right w:val="none"/>
          <w:insideH w:val="none"/>
          <w:insideV w:val="none"/>
        </w:tblBorders>
      </w:tblPr>
      <w:tblGrid>
        <w:gridCol w:w="10080"/>
      </w:tblGrid>
      <w:tr>
        <w:tc>
          <w:tcPr>
            <w:tcW w:type="dxa" w:w="10080"/>
            <w:shd w:fill="FAF1EE" w:color="auto" w:val="clear"/>
            <w:tcMar>
              <w:top w:type="dxa" w:w="140"/>
              <w:left w:type="dxa" w:w="180"/>
              <w:bottom w:type="dxa" w:w="140"/>
              <w:right w:type="dxa" w:w="160"/>
            </w:tcMar>
          </w:tcPr>
          <w:p>
            <w:pPr>
              <w:spacing w:after="0" w:before="0" w:line="276"/>
            </w:pPr>
            <w:r>
              <w:rPr>
                <w:rFonts w:ascii="Arial" w:cs="Arial" w:eastAsia="Arial" w:hAnsi="Arial"/>
                <w:color w:val="14181F"/>
                <w:sz w:val="19"/>
                <w:szCs w:val="19"/>
              </w:rPr>
              <w:t xml:space="preserve">Say this out loud in the sales conversation. "We run it weekly because the spacing research says consecutive days do not stick" is a claim we can source, a competitor cannot copy without rebuilding their whole calendar, and it reframes a three-week commitment as rigour rather than as a longer ask.</w:t>
            </w:r>
          </w:p>
        </w:tc>
      </w:tr>
    </w:tbl>
    <w:p>
      <w:pPr>
        <w:pStyle w:val="Heading3"/>
        <w:spacing w:after="100" w:before="280"/>
      </w:pPr>
      <w:r>
        <w:rPr>
          <w:rFonts w:ascii="Arial" w:cs="Arial" w:eastAsia="Arial" w:hAnsi="Arial"/>
          <w:b/>
          <w:bCs/>
          <w:color w:val="14181F"/>
          <w:sz w:val="23"/>
          <w:szCs w:val="23"/>
        </w:rPr>
        <w:t xml:space="preserve">6.2  The shape of each session</w:t>
      </w:r>
    </w:p>
    <w:p>
      <w:pPr>
        <w:spacing w:after="120" w:before="0" w:line="276"/>
      </w:pPr>
      <w:r>
        <w:rPr>
          <w:rFonts w:ascii="Arial" w:cs="Arial" w:eastAsia="Arial" w:hAnsi="Arial"/>
          <w:color w:val="14181F"/>
          <w:sz w:val="21"/>
          <w:szCs w:val="21"/>
        </w:rPr>
        <w:t xml:space="preserve">Seventy-five minutes, hard stop. Sessions average 68 minutes across 33,786 measured webinars and attendees watch 26 of them, so nothing load-bearing goes after minute 55. Something interactive roughly every five minutes; fifteen silent minutes is how a 75-minute session becomes a 26-minute one.</w:t>
      </w:r>
    </w:p>
    <w:tbl>
      <w:tblPr>
        <w:tblW w:type="dxa" w:w="10080"/>
        <w:tblBorders>
          <w:top w:val="single" w:color="D8D5CE" w:sz="4"/>
          <w:left w:val="single" w:color="D8D5CE" w:sz="4"/>
          <w:bottom w:val="single" w:color="D8D5CE" w:sz="4"/>
          <w:right w:val="single" w:color="D8D5CE" w:sz="4"/>
          <w:insideH w:val="single" w:color="D8D5CE" w:sz="4"/>
          <w:insideV w:val="single" w:color="D8D5CE" w:sz="4"/>
        </w:tblBorders>
      </w:tblPr>
      <w:tblGrid>
        <w:gridCol w:w="2016"/>
        <w:gridCol w:w="4032"/>
        <w:gridCol w:w="4032"/>
      </w:tblGrid>
      <w:tr>
        <w:trPr>
          <w:tblHeader/>
        </w:trPr>
        <w:tc>
          <w:tcPr>
            <w:tcW w:type="dxa" w:w="2016"/>
            <w:shd w:fill="F7F5F1" w:color="auto" w:val="clear"/>
            <w:tcMar>
              <w:top w:type="dxa" w:w="100"/>
              <w:left w:type="dxa" w:w="130"/>
              <w:bottom w:type="dxa" w:w="100"/>
              <w:right w:type="dxa" w:w="130"/>
            </w:tcMar>
          </w:tcPr>
          <w:p>
            <w:pPr>
              <w:spacing w:after="0"/>
            </w:pPr>
            <w:r>
              <w:rPr>
                <w:rFonts w:ascii="Arial" w:cs="Arial" w:eastAsia="Arial" w:hAnsi="Arial"/>
                <w:b/>
                <w:bCs/>
                <w:caps/>
                <w:color w:val="6B7280"/>
                <w:spacing w:val="20"/>
                <w:sz w:val="17"/>
                <w:szCs w:val="17"/>
              </w:rPr>
              <w:t xml:space="preserve">Minutes</w:t>
            </w:r>
          </w:p>
        </w:tc>
        <w:tc>
          <w:tcPr>
            <w:tcW w:type="dxa" w:w="4032"/>
            <w:shd w:fill="F7F5F1" w:color="auto" w:val="clear"/>
            <w:tcMar>
              <w:top w:type="dxa" w:w="100"/>
              <w:left w:type="dxa" w:w="130"/>
              <w:bottom w:type="dxa" w:w="100"/>
              <w:right w:type="dxa" w:w="130"/>
            </w:tcMar>
          </w:tcPr>
          <w:p>
            <w:pPr>
              <w:spacing w:after="0"/>
            </w:pPr>
            <w:r>
              <w:rPr>
                <w:rFonts w:ascii="Arial" w:cs="Arial" w:eastAsia="Arial" w:hAnsi="Arial"/>
                <w:b/>
                <w:bCs/>
                <w:caps/>
                <w:color w:val="6B7280"/>
                <w:spacing w:val="20"/>
                <w:sz w:val="17"/>
                <w:szCs w:val="17"/>
              </w:rPr>
              <w:t xml:space="preserve">What happens</w:t>
            </w:r>
          </w:p>
        </w:tc>
        <w:tc>
          <w:tcPr>
            <w:tcW w:type="dxa" w:w="4032"/>
            <w:shd w:fill="F7F5F1" w:color="auto" w:val="clear"/>
            <w:tcMar>
              <w:top w:type="dxa" w:w="100"/>
              <w:left w:type="dxa" w:w="130"/>
              <w:bottom w:type="dxa" w:w="100"/>
              <w:right w:type="dxa" w:w="130"/>
            </w:tcMar>
          </w:tcPr>
          <w:p>
            <w:pPr>
              <w:spacing w:after="0"/>
            </w:pPr>
            <w:r>
              <w:rPr>
                <w:rFonts w:ascii="Arial" w:cs="Arial" w:eastAsia="Arial" w:hAnsi="Arial"/>
                <w:b/>
                <w:bCs/>
                <w:caps/>
                <w:color w:val="6B7280"/>
                <w:spacing w:val="20"/>
                <w:sz w:val="17"/>
                <w:szCs w:val="17"/>
              </w:rPr>
              <w:t xml:space="preserve">Why</w:t>
            </w:r>
          </w:p>
        </w:tc>
      </w:tr>
      <w:tr>
        <w:trPr>
          <w:tblHeader w:val="false"/>
        </w:trPr>
        <w:tc>
          <w:tcPr>
            <w:tcW w:type="dxa" w:w="2016"/>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0–8</w:t>
            </w:r>
          </w:p>
        </w:tc>
        <w:tc>
          <w:tcPr>
            <w:tcW w:type="dxa" w:w="4032"/>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Retrieval, not recap. Cold questions about last week's artifact, answered before any teaching. In session one this slot is the pre-commitment instead.</w:t>
            </w:r>
          </w:p>
        </w:tc>
        <w:tc>
          <w:tcPr>
            <w:tcW w:type="dxa" w:w="4032"/>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Retrieval practice beats restudying at g = 0.51 and beats no activity at g = 0.93. Multiple-choice items scored highest at 0.70.</w:t>
            </w:r>
          </w:p>
        </w:tc>
      </w:tr>
      <w:tr>
        <w:trPr>
          <w:tblHeader w:val="false"/>
        </w:trPr>
        <w:tc>
          <w:tcPr>
            <w:tcW w:type="dxa" w:w="2016"/>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8–25</w:t>
            </w:r>
          </w:p>
        </w:tc>
        <w:tc>
          <w:tcPr>
            <w:tcW w:type="dxa" w:w="4032"/>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Teach one mechanism. Rules, not scripts. One move per session and no more.</w:t>
            </w:r>
          </w:p>
        </w:tc>
        <w:tc>
          <w:tcPr>
            <w:tcW w:type="dxa" w:w="4032"/>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Behaviour-modelling research finds transfer improves when content is taught as underlying rules rather than as procedures to copy.</w:t>
            </w:r>
          </w:p>
        </w:tc>
      </w:tr>
      <w:tr>
        <w:trPr>
          <w:tblHeader w:val="false"/>
        </w:trPr>
        <w:tc>
          <w:tcPr>
            <w:tcW w:type="dxa" w:w="2016"/>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25–55</w:t>
            </w:r>
          </w:p>
        </w:tc>
        <w:tc>
          <w:tcPr>
            <w:tcW w:type="dxa" w:w="4032"/>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Build in the room. Pods of three or four, never above six. Each person produces a whole artifact in their own words.</w:t>
            </w:r>
          </w:p>
        </w:tc>
        <w:tc>
          <w:tcPr>
            <w:tcW w:type="dxa" w:w="4032"/>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Whole-target generation runs d = .55 against .32 for filling in part of something, and the effect grows to .64 past a day. Above six people per working group, participants shift from active to passive.</w:t>
            </w:r>
          </w:p>
        </w:tc>
      </w:tr>
      <w:tr>
        <w:trPr>
          <w:tblHeader w:val="false"/>
        </w:trPr>
        <w:tc>
          <w:tcPr>
            <w:tcW w:type="dxa" w:w="2016"/>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55–68</w:t>
            </w:r>
          </w:p>
        </w:tc>
        <w:tc>
          <w:tcPr>
            <w:tcW w:type="dxa" w:w="4032"/>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Two or three people show the artifact. Facilitator gives feedback against the stated criteria.</w:t>
            </w:r>
          </w:p>
        </w:tc>
        <w:tc>
          <w:tcPr>
            <w:tcW w:type="dxa" w:w="4032"/>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Feedback aimed at the artifact works. Feedback aimed at the person consistently produces negative effects, and roughly a third of feedback interventions reduce performance.</w:t>
            </w:r>
          </w:p>
        </w:tc>
      </w:tr>
      <w:tr>
        <w:trPr>
          <w:tblHeader w:val="false"/>
        </w:trPr>
        <w:tc>
          <w:tcPr>
            <w:tcW w:type="dxa" w:w="2016"/>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68–75</w:t>
            </w:r>
          </w:p>
        </w:tc>
        <w:tc>
          <w:tcPr>
            <w:tcW w:type="dxa" w:w="4032"/>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Written implementation intention, live, in the shared doc. If-then form, naming a person and an artifact.</w:t>
            </w:r>
          </w:p>
        </w:tc>
        <w:tc>
          <w:tcPr>
            <w:tcW w:type="dxa" w:w="4032"/>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Implementation intentions run d = 0.65 across 94 tests and 8,461 participants — under conditions of real attention, which is why this is written live and witnessed.</w:t>
            </w:r>
          </w:p>
        </w:tc>
      </w:tr>
    </w:tbl>
    <w:p>
      <w:pPr>
        <w:spacing w:after="120"/>
      </w:pPr>
      <w:r>
        <w:rPr>
          <w:rFonts w:ascii="Arial" w:cs="Arial" w:eastAsia="Arial" w:hAnsi="Arial"/>
          <w:sz w:val="16"/>
          <w:szCs w:val="16"/>
        </w:rPr>
        <w:t xml:space="preserve"/>
      </w:r>
    </w:p>
    <w:tbl>
      <w:tblPr>
        <w:tblW w:type="dxa" w:w="10080"/>
        <w:tblBorders>
          <w:top w:val="none"/>
          <w:left w:val="single" w:color="A8462F" w:sz="18"/>
          <w:bottom w:val="none"/>
          <w:right w:val="none"/>
          <w:insideH w:val="none"/>
          <w:insideV w:val="none"/>
        </w:tblBorders>
      </w:tblPr>
      <w:tblGrid>
        <w:gridCol w:w="10080"/>
      </w:tblGrid>
      <w:tr>
        <w:tc>
          <w:tcPr>
            <w:tcW w:type="dxa" w:w="10080"/>
            <w:shd w:fill="FAF1EE" w:color="auto" w:val="clear"/>
            <w:tcMar>
              <w:top w:type="dxa" w:w="140"/>
              <w:left w:type="dxa" w:w="180"/>
              <w:bottom w:type="dxa" w:w="140"/>
              <w:right w:type="dxa" w:w="160"/>
            </w:tcMar>
          </w:tcPr>
          <w:p>
            <w:pPr>
              <w:spacing w:after="0" w:before="0" w:line="276"/>
            </w:pPr>
            <w:r>
              <w:rPr>
                <w:rFonts w:ascii="Arial" w:cs="Arial" w:eastAsia="Arial" w:hAnsi="Arial"/>
                <w:color w:val="14181F"/>
                <w:sz w:val="19"/>
                <w:szCs w:val="19"/>
              </w:rPr>
              <w:t xml:space="preserve">The honest caveat on that last one. When plan-making prompts were scaled to 250,000 learners across 247 courses, the effect fell by an order of magnitude and did not move final completion at all. The mechanism is real; the automated-email version of it does nothing. It has to be written live, seen by the group, and asked about by a human the following week, or leave it out.</w:t>
            </w:r>
          </w:p>
        </w:tc>
      </w:tr>
    </w:tbl>
    <w:p>
      <w:pPr>
        <w:pStyle w:val="Heading3"/>
        <w:spacing w:after="100" w:before="280"/>
      </w:pPr>
      <w:r>
        <w:rPr>
          <w:rFonts w:ascii="Arial" w:cs="Arial" w:eastAsia="Arial" w:hAnsi="Arial"/>
          <w:b/>
          <w:bCs/>
          <w:color w:val="14181F"/>
          <w:sz w:val="23"/>
          <w:szCs w:val="23"/>
        </w:rPr>
        <w:t xml:space="preserve">6.3  Homework, and the most common way it fails</w:t>
      </w:r>
    </w:p>
    <w:p>
      <w:pPr>
        <w:spacing w:after="120" w:before="0" w:line="276"/>
      </w:pPr>
      <w:r>
        <w:rPr>
          <w:rFonts w:ascii="Arial" w:cs="Arial" w:eastAsia="Arial" w:hAnsi="Arial"/>
          <w:color w:val="14181F"/>
          <w:sz w:val="21"/>
          <w:szCs w:val="21"/>
        </w:rPr>
        <w:t xml:space="preserve">The branded worksheet with blanks in it is the most professional-looking failure in this category. Filling in a template is the partial-target condition and it is worth barely half of what producing the whole thing yourself is worth. Puzzle-style exercises are worse than that: the generation effect goes slightly negative for them.</w:t>
      </w:r>
    </w:p>
    <w:p>
      <w:pPr>
        <w:spacing w:after="120" w:before="0" w:line="276"/>
      </w:pPr>
      <w:r>
        <w:rPr>
          <w:rFonts w:ascii="Arial" w:cs="Arial" w:eastAsia="Arial" w:hAnsi="Arial"/>
          <w:color w:val="14181F"/>
          <w:sz w:val="21"/>
          <w:szCs w:val="21"/>
        </w:rPr>
        <w:t xml:space="preserve">So the rule is simple. Every week the participant produces a complete artifact in their own words, not a form with our headings on it.</w:t>
      </w:r>
    </w:p>
    <w:tbl>
      <w:tblPr>
        <w:tblW w:type="dxa" w:w="10080"/>
        <w:tblBorders>
          <w:top w:val="single" w:color="D8D5CE" w:sz="4"/>
          <w:left w:val="single" w:color="D8D5CE" w:sz="4"/>
          <w:bottom w:val="single" w:color="D8D5CE" w:sz="4"/>
          <w:right w:val="single" w:color="D8D5CE" w:sz="4"/>
          <w:insideH w:val="single" w:color="D8D5CE" w:sz="4"/>
          <w:insideV w:val="single" w:color="D8D5CE" w:sz="4"/>
        </w:tblBorders>
      </w:tblPr>
      <w:tblGrid>
        <w:gridCol w:w="2240"/>
        <w:gridCol w:w="4480"/>
        <w:gridCol w:w="3360"/>
      </w:tblGrid>
      <w:tr>
        <w:trPr>
          <w:tblHeader/>
        </w:trPr>
        <w:tc>
          <w:tcPr>
            <w:tcW w:type="dxa" w:w="2240"/>
            <w:shd w:fill="F7F5F1" w:color="auto" w:val="clear"/>
            <w:tcMar>
              <w:top w:type="dxa" w:w="100"/>
              <w:left w:type="dxa" w:w="130"/>
              <w:bottom w:type="dxa" w:w="100"/>
              <w:right w:type="dxa" w:w="130"/>
            </w:tcMar>
          </w:tcPr>
          <w:p>
            <w:pPr>
              <w:spacing w:after="0"/>
            </w:pPr>
            <w:r>
              <w:rPr>
                <w:rFonts w:ascii="Arial" w:cs="Arial" w:eastAsia="Arial" w:hAnsi="Arial"/>
                <w:b/>
                <w:bCs/>
                <w:caps/>
                <w:color w:val="6B7280"/>
                <w:spacing w:val="20"/>
                <w:sz w:val="17"/>
                <w:szCs w:val="17"/>
              </w:rPr>
              <w:t xml:space="preserve">Week</w:t>
            </w:r>
          </w:p>
        </w:tc>
        <w:tc>
          <w:tcPr>
            <w:tcW w:type="dxa" w:w="4480"/>
            <w:shd w:fill="F7F5F1" w:color="auto" w:val="clear"/>
            <w:tcMar>
              <w:top w:type="dxa" w:w="100"/>
              <w:left w:type="dxa" w:w="130"/>
              <w:bottom w:type="dxa" w:w="100"/>
              <w:right w:type="dxa" w:w="130"/>
            </w:tcMar>
          </w:tcPr>
          <w:p>
            <w:pPr>
              <w:spacing w:after="0"/>
            </w:pPr>
            <w:r>
              <w:rPr>
                <w:rFonts w:ascii="Arial" w:cs="Arial" w:eastAsia="Arial" w:hAnsi="Arial"/>
                <w:b/>
                <w:bCs/>
                <w:caps/>
                <w:color w:val="6B7280"/>
                <w:spacing w:val="20"/>
                <w:sz w:val="17"/>
                <w:szCs w:val="17"/>
              </w:rPr>
              <w:t xml:space="preserve">The artifact</w:t>
            </w:r>
          </w:p>
        </w:tc>
        <w:tc>
          <w:tcPr>
            <w:tcW w:type="dxa" w:w="3360"/>
            <w:shd w:fill="F7F5F1" w:color="auto" w:val="clear"/>
            <w:tcMar>
              <w:top w:type="dxa" w:w="100"/>
              <w:left w:type="dxa" w:w="130"/>
              <w:bottom w:type="dxa" w:w="100"/>
              <w:right w:type="dxa" w:w="130"/>
            </w:tcMar>
          </w:tcPr>
          <w:p>
            <w:pPr>
              <w:spacing w:after="0"/>
            </w:pPr>
            <w:r>
              <w:rPr>
                <w:rFonts w:ascii="Arial" w:cs="Arial" w:eastAsia="Arial" w:hAnsi="Arial"/>
                <w:b/>
                <w:bCs/>
                <w:caps/>
                <w:color w:val="6B7280"/>
                <w:spacing w:val="20"/>
                <w:sz w:val="17"/>
                <w:szCs w:val="17"/>
              </w:rPr>
              <w:t xml:space="preserve">Goal type</w:t>
            </w:r>
          </w:p>
        </w:tc>
      </w:tr>
      <w:tr>
        <w:trPr>
          <w:tblHeader w:val="false"/>
        </w:trPr>
        <w:tc>
          <w:tcPr>
            <w:tcW w:type="dxa" w:w="2240"/>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1</w:t>
            </w:r>
          </w:p>
        </w:tc>
        <w:tc>
          <w:tcPr>
            <w:tcW w:type="dxa" w:w="4480"/>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Interview three buyers. Write down their exact words, unedited.</w:t>
            </w:r>
          </w:p>
        </w:tc>
        <w:tc>
          <w:tcPr>
            <w:tcW w:type="dxa" w:w="3360"/>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Learning goal</w:t>
            </w:r>
          </w:p>
        </w:tc>
      </w:tr>
      <w:tr>
        <w:trPr>
          <w:tblHeader w:val="false"/>
        </w:trPr>
        <w:tc>
          <w:tcPr>
            <w:tcW w:type="dxa" w:w="2240"/>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2</w:t>
            </w:r>
          </w:p>
        </w:tc>
        <w:tc>
          <w:tcPr>
            <w:tcW w:type="dxa" w:w="4480"/>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Draft the thing, whole, in your own words.</w:t>
            </w:r>
          </w:p>
        </w:tc>
        <w:tc>
          <w:tcPr>
            <w:tcW w:type="dxa" w:w="3360"/>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Learning goal</w:t>
            </w:r>
          </w:p>
        </w:tc>
      </w:tr>
      <w:tr>
        <w:trPr>
          <w:tblHeader w:val="false"/>
        </w:trPr>
        <w:tc>
          <w:tcPr>
            <w:tcW w:type="dxa" w:w="2240"/>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3</w:t>
            </w:r>
          </w:p>
        </w:tc>
        <w:tc>
          <w:tcPr>
            <w:tcW w:type="dxa" w:w="4480"/>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Ship it. Report what happened, including if nothing did.</w:t>
            </w:r>
          </w:p>
        </w:tc>
        <w:tc>
          <w:tcPr>
            <w:tcW w:type="dxa" w:w="3360"/>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Performance goal</w:t>
            </w:r>
          </w:p>
        </w:tc>
      </w:tr>
    </w:tbl>
    <w:p>
      <w:pPr>
        <w:spacing w:after="120"/>
      </w:pPr>
      <w:r>
        <w:rPr>
          <w:rFonts w:ascii="Arial" w:cs="Arial" w:eastAsia="Arial" w:hAnsi="Arial"/>
          <w:sz w:val="16"/>
          <w:szCs w:val="16"/>
        </w:rPr>
        <w:t xml:space="preserve"/>
      </w:r>
    </w:p>
    <w:p>
      <w:pPr>
        <w:spacing w:after="120" w:before="0" w:line="276"/>
      </w:pPr>
      <w:r>
        <w:rPr>
          <w:rFonts w:ascii="Arial" w:cs="Arial" w:eastAsia="Arial" w:hAnsi="Arial"/>
          <w:color w:val="6B7280"/>
          <w:sz w:val="20"/>
          <w:szCs w:val="20"/>
        </w:rPr>
        <w:t xml:space="preserve">The sequence is deliberate. On complex tasks where someone is still acquiring the knowledge, specific performance goals create tunnel vision. Learning goals outperform them until the knowledge is there, which is why the ship-it goal waits until week three.</w:t>
      </w:r>
    </w:p>
    <w:p>
      <w:pPr>
        <w:pStyle w:val="Heading3"/>
        <w:spacing w:after="100" w:before="280"/>
      </w:pPr>
      <w:r>
        <w:rPr>
          <w:rFonts w:ascii="Arial" w:cs="Arial" w:eastAsia="Arial" w:hAnsi="Arial"/>
          <w:b/>
          <w:bCs/>
          <w:color w:val="14181F"/>
          <w:sz w:val="23"/>
          <w:szCs w:val="23"/>
        </w:rPr>
        <w:t xml:space="preserve">6.4  Gate the next week on the last one</w:t>
      </w:r>
    </w:p>
    <w:p>
      <w:pPr>
        <w:spacing w:after="120" w:before="0" w:line="276"/>
      </w:pPr>
      <w:r>
        <w:rPr>
          <w:rFonts w:ascii="Arial" w:cs="Arial" w:eastAsia="Arial" w:hAnsi="Arial"/>
          <w:color w:val="14181F"/>
          <w:sz w:val="21"/>
          <w:szCs w:val="21"/>
        </w:rPr>
        <w:t xml:space="preserve">Week two materials unlock on submission of week one's artifact, and so on. This is the one mechanic worth taking wholesale from the operators we tore apart, and it is the only one of their devices with a defensible basis.</w:t>
      </w:r>
    </w:p>
    <w:p>
      <w:pPr>
        <w:spacing w:after="120" w:before="0" w:line="276"/>
      </w:pPr>
      <w:r>
        <w:rPr>
          <w:rFonts w:ascii="Arial" w:cs="Arial" w:eastAsia="Arial" w:hAnsi="Arial"/>
          <w:color w:val="6B7280"/>
          <w:sz w:val="20"/>
          <w:szCs w:val="20"/>
        </w:rPr>
        <w:t xml:space="preserve">The reason is not the one they give. The cliffhanger theory rests on the Zeigarnik effect, and a 2025 meta-analysis of 59 publications found essentially no memory advantage for interrupted tasks: a recall ratio of 0.99 and dz = 0.15, with the effect slightly reversed under achievement pressure, which is exactly the condition a working professional is in. What does replicate is the other half of that literature: people resume things they have started, at a 67% rate. So design for a visibly half-finished artifact the participant owns, not for narrative suspense.</w:t>
      </w:r>
    </w:p>
    <w:p>
      <w:pPr>
        <w:pStyle w:val="Heading3"/>
        <w:spacing w:after="100" w:before="280"/>
      </w:pPr>
      <w:r>
        <w:rPr>
          <w:rFonts w:ascii="Arial" w:cs="Arial" w:eastAsia="Arial" w:hAnsi="Arial"/>
          <w:b/>
          <w:bCs/>
          <w:color w:val="14181F"/>
          <w:sz w:val="23"/>
          <w:szCs w:val="23"/>
        </w:rPr>
        <w:t xml:space="preserve">6.5  Recruit the manager</w:t>
      </w:r>
    </w:p>
    <w:p>
      <w:pPr>
        <w:spacing w:after="120" w:before="0" w:line="276"/>
      </w:pPr>
      <w:r>
        <w:rPr>
          <w:rFonts w:ascii="Arial" w:cs="Arial" w:eastAsia="Arial" w:hAnsi="Arial"/>
          <w:color w:val="14181F"/>
          <w:sz w:val="21"/>
          <w:szCs w:val="21"/>
        </w:rPr>
        <w:t xml:space="preserve">The highest-leverage mechanism in the whole design and the one nobody uses. Across 89 studies and 12,496 participants, supervisor support correlated with training transfer at .31. Peer support came in at .14, the weakest environmental factor measured.</w:t>
      </w:r>
    </w:p>
    <w:p>
      <w:pPr>
        <w:spacing w:after="120" w:before="0" w:line="276"/>
      </w:pPr>
      <w:r>
        <w:rPr>
          <w:rFonts w:ascii="Arial" w:cs="Arial" w:eastAsia="Arial" w:hAnsi="Arial"/>
          <w:color w:val="14181F"/>
          <w:sz w:val="21"/>
          <w:szCs w:val="21"/>
        </w:rPr>
        <w:t xml:space="preserve">The industry spends its effort on community and almost none on the manager. We have access to the manager in a way a consumer info-product never does.</w:t>
      </w:r>
    </w:p>
    <w:p>
      <w:pPr>
        <w:spacing w:after="40" w:before="140"/>
      </w:pPr>
      <w:r>
        <w:rPr>
          <w:rFonts w:ascii="Arial" w:cs="Arial" w:eastAsia="Arial" w:hAnsi="Arial"/>
          <w:b/>
          <w:bCs/>
          <w:caps/>
          <w:color w:val="6B7280"/>
          <w:spacing w:val="20"/>
          <w:sz w:val="18"/>
          <w:szCs w:val="18"/>
        </w:rPr>
        <w:t xml:space="preserve">The two-paragraph manager brief sent at enrolment: the three artifacts, and one question to ask in the participant's next one-to-one</w:t>
      </w:r>
    </w:p>
    <w:p>
      <w:pPr>
        <w:pBdr>
          <w:bottom w:val="single" w:color="D8D5CE" w:sz="4" w:space="8"/>
        </w:pBdr>
        <w:spacing w:after="60"/>
      </w:pPr>
      <w:r>
        <w:rPr>
          <w:rFonts w:ascii="Arial" w:cs="Arial" w:eastAsia="Arial" w:hAnsi="Arial"/>
          <w:sz w:val="21"/>
          <w:szCs w:val="21"/>
        </w:rPr>
        <w:t xml:space="preserve"> </w:t>
      </w:r>
    </w:p>
    <w:p>
      <w:pPr>
        <w:pBdr>
          <w:bottom w:val="single" w:color="D8D5CE" w:sz="4" w:space="8"/>
        </w:pBdr>
        <w:spacing w:after="60"/>
      </w:pPr>
      <w:r>
        <w:rPr>
          <w:rFonts w:ascii="Arial" w:cs="Arial" w:eastAsia="Arial" w:hAnsi="Arial"/>
          <w:sz w:val="21"/>
          <w:szCs w:val="21"/>
        </w:rPr>
        <w:t xml:space="preserve"> </w:t>
      </w:r>
    </w:p>
    <w:p>
      <w:pPr>
        <w:pBdr>
          <w:bottom w:val="single" w:color="D8D5CE" w:sz="4" w:space="8"/>
        </w:pBdr>
        <w:spacing w:after="100"/>
      </w:pPr>
      <w:r>
        <w:rPr>
          <w:rFonts w:ascii="Arial" w:cs="Arial" w:eastAsia="Arial" w:hAnsi="Arial"/>
          <w:sz w:val="21"/>
          <w:szCs w:val="21"/>
        </w:rPr>
        <w:t xml:space="preserve"> </w:t>
      </w:r>
    </w:p>
    <w:p>
      <w:pPr>
        <w:pStyle w:val="Heading3"/>
        <w:spacing w:after="100" w:before="280"/>
      </w:pPr>
      <w:r>
        <w:rPr>
          <w:rFonts w:ascii="Arial" w:cs="Arial" w:eastAsia="Arial" w:hAnsi="Arial"/>
          <w:b/>
          <w:bCs/>
          <w:color w:val="14181F"/>
          <w:sz w:val="23"/>
          <w:szCs w:val="23"/>
        </w:rPr>
        <w:t xml:space="preserve">6.6  Cohort, screening and community</w:t>
      </w:r>
    </w:p>
    <w:tbl>
      <w:tblPr>
        <w:tblW w:type="dxa" w:w="10080"/>
        <w:tblBorders>
          <w:top w:val="single" w:color="D8D5CE" w:sz="4"/>
          <w:left w:val="single" w:color="D8D5CE" w:sz="4"/>
          <w:bottom w:val="single" w:color="D8D5CE" w:sz="4"/>
          <w:right w:val="single" w:color="D8D5CE" w:sz="4"/>
          <w:insideH w:val="single" w:color="D8D5CE" w:sz="4"/>
          <w:insideV w:val="single" w:color="D8D5CE" w:sz="4"/>
        </w:tblBorders>
      </w:tblPr>
      <w:tblGrid>
        <w:gridCol w:w="3780"/>
        <w:gridCol w:w="6300"/>
      </w:tblGrid>
      <w:tr>
        <w:trPr>
          <w:tblHeader/>
        </w:trPr>
        <w:tc>
          <w:tcPr>
            <w:tcW w:type="dxa" w:w="3780"/>
            <w:shd w:fill="F7F5F1" w:color="auto" w:val="clear"/>
            <w:tcMar>
              <w:top w:type="dxa" w:w="100"/>
              <w:left w:type="dxa" w:w="130"/>
              <w:bottom w:type="dxa" w:w="100"/>
              <w:right w:type="dxa" w:w="130"/>
            </w:tcMar>
          </w:tcPr>
          <w:p>
            <w:pPr>
              <w:spacing w:after="0"/>
            </w:pPr>
            <w:r>
              <w:rPr>
                <w:rFonts w:ascii="Arial" w:cs="Arial" w:eastAsia="Arial" w:hAnsi="Arial"/>
                <w:b/>
                <w:bCs/>
                <w:caps/>
                <w:color w:val="6B7280"/>
                <w:spacing w:val="20"/>
                <w:sz w:val="17"/>
                <w:szCs w:val="17"/>
              </w:rPr>
              <w:t xml:space="preserve">Decision</w:t>
            </w:r>
          </w:p>
        </w:tc>
        <w:tc>
          <w:tcPr>
            <w:tcW w:type="dxa" w:w="6300"/>
            <w:shd w:fill="F7F5F1" w:color="auto" w:val="clear"/>
            <w:tcMar>
              <w:top w:type="dxa" w:w="100"/>
              <w:left w:type="dxa" w:w="130"/>
              <w:bottom w:type="dxa" w:w="100"/>
              <w:right w:type="dxa" w:w="130"/>
            </w:tcMar>
          </w:tcPr>
          <w:p>
            <w:pPr>
              <w:spacing w:after="0"/>
            </w:pPr>
            <w:r>
              <w:rPr>
                <w:rFonts w:ascii="Arial" w:cs="Arial" w:eastAsia="Arial" w:hAnsi="Arial"/>
                <w:b/>
                <w:bCs/>
                <w:caps/>
                <w:color w:val="6B7280"/>
                <w:spacing w:val="20"/>
                <w:sz w:val="17"/>
                <w:szCs w:val="17"/>
              </w:rPr>
              <w:t xml:space="preserve">What to do and why</w:t>
            </w:r>
          </w:p>
        </w:tc>
      </w:tr>
      <w:tr>
        <w:trPr>
          <w:tblHeader w:val="false"/>
        </w:trPr>
        <w:tc>
          <w:tcPr>
            <w:tcW w:type="dxa" w:w="3780"/>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Roster size</w:t>
            </w:r>
          </w:p>
        </w:tc>
        <w:tc>
          <w:tcPr>
            <w:tcW w:type="dxa" w:w="6300"/>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Twelve to twenty-four. Working pods of three to four inside it. One facilitator per twelve or so; the measured optimum for error correction is one to four, and one to twelve with pods is a defensible compromise for judgment work.</w:t>
            </w:r>
          </w:p>
        </w:tc>
      </w:tr>
      <w:tr>
        <w:trPr>
          <w:tblHeader w:val="false"/>
        </w:trPr>
        <w:tc>
          <w:tcPr>
            <w:tcW w:type="dxa" w:w="3780"/>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Screening</w:t>
            </w:r>
          </w:p>
        </w:tc>
        <w:tc>
          <w:tcPr>
            <w:tcW w:type="dxa" w:w="6300"/>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Charge something, or require an application with manager sign-off. Both work, and they work by selecting who shows up rather than by making anyone try harder. In a randomised field experiment a 10% higher offer price raised usage 4% among purchasers, while a higher price paid — holding the offer price constant — did nothing. The fee is a filter, not a motivator.</w:t>
            </w:r>
          </w:p>
        </w:tc>
      </w:tr>
      <w:tr>
        <w:trPr>
          <w:tblHeader w:val="false"/>
        </w:trPr>
        <w:tc>
          <w:tcPr>
            <w:tcW w:type="dxa" w:w="3780"/>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Community</w:t>
            </w:r>
          </w:p>
        </w:tc>
        <w:tc>
          <w:tcPr>
            <w:tcW w:type="dxa" w:w="6300"/>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Fixed pods with named partners, one required post a week which is the artifact itself, and a facilitator who actually replies. Do not build a general channel and hope: 57% of courses on one large platform never receive a single student comment, and peer support is the weakest transfer predictor there is.</w:t>
            </w:r>
          </w:p>
        </w:tc>
      </w:tr>
      <w:tr>
        <w:trPr>
          <w:tblHeader w:val="false"/>
        </w:trPr>
        <w:tc>
          <w:tcPr>
            <w:tcW w:type="dxa" w:w="3780"/>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Time commitment</w:t>
            </w:r>
          </w:p>
        </w:tc>
        <w:tc>
          <w:tcPr>
            <w:tcW w:type="dxa" w:w="6300"/>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Roughly two and a half hours a week: 75 minutes live plus about 90 minutes of applied work. Above that you are competing with the day job; below it no artifact gets produced.</w:t>
            </w:r>
          </w:p>
        </w:tc>
      </w:tr>
    </w:tbl>
    <w:p>
      <w:pPr>
        <w:pStyle w:val="Heading3"/>
        <w:spacing w:after="100" w:before="280"/>
      </w:pPr>
      <w:r>
        <w:rPr>
          <w:rFonts w:ascii="Arial" w:cs="Arial" w:eastAsia="Arial" w:hAnsi="Arial"/>
          <w:b/>
          <w:bCs/>
          <w:color w:val="14181F"/>
          <w:sz w:val="23"/>
          <w:szCs w:val="23"/>
        </w:rPr>
        <w:t xml:space="preserve">6.7  Where the offer goes</w:t>
      </w:r>
    </w:p>
    <w:p>
      <w:pPr>
        <w:spacing w:after="120" w:before="0" w:line="276"/>
      </w:pPr>
      <w:r>
        <w:rPr>
          <w:rFonts w:ascii="Arial" w:cs="Arial" w:eastAsia="Arial" w:hAnsi="Arial"/>
          <w:color w:val="14181F"/>
          <w:sz w:val="21"/>
          <w:szCs w:val="21"/>
        </w:rPr>
        <w:t xml:space="preserve">Not day four with a stack, and not day five with a countdown. Those are calibrated to a consumer audience at a low price and they damage credibility with a buying committee.</w:t>
      </w:r>
    </w:p>
    <w:tbl>
      <w:tblPr>
        <w:tblW w:type="dxa" w:w="10080"/>
        <w:tblBorders>
          <w:top w:val="single" w:color="D8D5CE" w:sz="4"/>
          <w:left w:val="single" w:color="D8D5CE" w:sz="4"/>
          <w:bottom w:val="single" w:color="D8D5CE" w:sz="4"/>
          <w:right w:val="single" w:color="D8D5CE" w:sz="4"/>
          <w:insideH w:val="single" w:color="D8D5CE" w:sz="4"/>
          <w:insideV w:val="single" w:color="D8D5CE" w:sz="4"/>
        </w:tblBorders>
      </w:tblPr>
      <w:tblGrid>
        <w:gridCol w:w="2880"/>
        <w:gridCol w:w="7200"/>
      </w:tblGrid>
      <w:tr>
        <w:trPr>
          <w:tblHeader/>
        </w:trPr>
        <w:tc>
          <w:tcPr>
            <w:tcW w:type="dxa" w:w="2880"/>
            <w:shd w:fill="F7F5F1" w:color="auto" w:val="clear"/>
            <w:tcMar>
              <w:top w:type="dxa" w:w="100"/>
              <w:left w:type="dxa" w:w="130"/>
              <w:bottom w:type="dxa" w:w="100"/>
              <w:right w:type="dxa" w:w="130"/>
            </w:tcMar>
          </w:tcPr>
          <w:p>
            <w:pPr>
              <w:spacing w:after="0"/>
            </w:pPr>
            <w:r>
              <w:rPr>
                <w:rFonts w:ascii="Arial" w:cs="Arial" w:eastAsia="Arial" w:hAnsi="Arial"/>
                <w:b/>
                <w:bCs/>
                <w:caps/>
                <w:color w:val="6B7280"/>
                <w:spacing w:val="20"/>
                <w:sz w:val="17"/>
                <w:szCs w:val="17"/>
              </w:rPr>
              <w:t xml:space="preserve">Session</w:t>
            </w:r>
          </w:p>
        </w:tc>
        <w:tc>
          <w:tcPr>
            <w:tcW w:type="dxa" w:w="7200"/>
            <w:shd w:fill="F7F5F1" w:color="auto" w:val="clear"/>
            <w:tcMar>
              <w:top w:type="dxa" w:w="100"/>
              <w:left w:type="dxa" w:w="130"/>
              <w:bottom w:type="dxa" w:w="100"/>
              <w:right w:type="dxa" w:w="130"/>
            </w:tcMar>
          </w:tcPr>
          <w:p>
            <w:pPr>
              <w:spacing w:after="0"/>
            </w:pPr>
            <w:r>
              <w:rPr>
                <w:rFonts w:ascii="Arial" w:cs="Arial" w:eastAsia="Arial" w:hAnsi="Arial"/>
                <w:b/>
                <w:bCs/>
                <w:caps/>
                <w:color w:val="6B7280"/>
                <w:spacing w:val="20"/>
                <w:sz w:val="17"/>
                <w:szCs w:val="17"/>
              </w:rPr>
              <w:t xml:space="preserve">The offer</w:t>
            </w:r>
          </w:p>
        </w:tc>
      </w:tr>
      <w:tr>
        <w:trPr>
          <w:tblHeader w:val="false"/>
        </w:trPr>
        <w:tc>
          <w:tcPr>
            <w:tcW w:type="dxa" w:w="2880"/>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One</w:t>
            </w:r>
          </w:p>
        </w:tc>
        <w:tc>
          <w:tcPr>
            <w:tcW w:type="dxa" w:w="7200"/>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Sixty seconds, once. Name the paid engagement, say you will come back to it at the end of session three, then drop it. This removes the when-is-the-pitch-coming tax that makes professionals discount everything you teach, and it costs a minute.</w:t>
            </w:r>
          </w:p>
        </w:tc>
      </w:tr>
      <w:tr>
        <w:trPr>
          <w:tblHeader w:val="false"/>
        </w:trPr>
        <w:tc>
          <w:tcPr>
            <w:tcW w:type="dxa" w:w="2880"/>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Two</w:t>
            </w:r>
          </w:p>
        </w:tc>
        <w:tc>
          <w:tcPr>
            <w:tcW w:type="dxa" w:w="7200"/>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Nothing. Session two is where the artifact gets hard and where trust is won or lost.</w:t>
            </w:r>
          </w:p>
        </w:tc>
      </w:tr>
      <w:tr>
        <w:trPr>
          <w:tblHeader w:val="false"/>
        </w:trPr>
        <w:tc>
          <w:tcPr>
            <w:tcW w:type="dxa" w:w="2880"/>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Three</w:t>
            </w:r>
          </w:p>
        </w:tc>
        <w:tc>
          <w:tcPr>
            <w:tcW w:type="dxa" w:w="7200"/>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Final fifteen minutes, after the artifacts have been shown. Recap what each person actually built, name the specific gap between that artifact and the outcome they want, present the engagement as the bridge with a real scope and a real number, then open a window closing on a stated date five to seven business days out. Offer a one-to-one review to anyone whose artifact revealed a specific problem.</w:t>
            </w:r>
          </w:p>
        </w:tc>
      </w:tr>
    </w:tbl>
    <w:p>
      <w:pPr>
        <w:spacing w:after="120"/>
      </w:pPr>
      <w:r>
        <w:rPr>
          <w:rFonts w:ascii="Arial" w:cs="Arial" w:eastAsia="Arial" w:hAnsi="Arial"/>
          <w:sz w:val="16"/>
          <w:szCs w:val="16"/>
        </w:rPr>
        <w:t xml:space="preserve"/>
      </w:r>
    </w:p>
    <w:tbl>
      <w:tblPr>
        <w:tblW w:type="dxa" w:w="10080"/>
        <w:tblBorders>
          <w:top w:val="none"/>
          <w:left w:val="single" w:color="B8801F" w:sz="18"/>
          <w:bottom w:val="none"/>
          <w:right w:val="none"/>
          <w:insideH w:val="none"/>
          <w:insideV w:val="none"/>
        </w:tblBorders>
      </w:tblPr>
      <w:tblGrid>
        <w:gridCol w:w="10080"/>
      </w:tblGrid>
      <w:tr>
        <w:tc>
          <w:tcPr>
            <w:tcW w:type="dxa" w:w="10080"/>
            <w:shd w:fill="F7F5F1" w:color="auto" w:val="clear"/>
            <w:tcMar>
              <w:top w:type="dxa" w:w="140"/>
              <w:left w:type="dxa" w:w="180"/>
              <w:bottom w:type="dxa" w:w="140"/>
              <w:right w:type="dxa" w:w="160"/>
            </w:tcMar>
          </w:tcPr>
          <w:p>
            <w:pPr>
              <w:spacing w:after="0" w:before="0" w:line="276"/>
            </w:pPr>
            <w:r>
              <w:rPr>
                <w:rFonts w:ascii="Arial" w:cs="Arial" w:eastAsia="Arial" w:hAnsi="Arial"/>
                <w:color w:val="14181F"/>
                <w:sz w:val="19"/>
                <w:szCs w:val="19"/>
              </w:rPr>
              <w:t xml:space="preserve">For B2B the artifact is the qualification. Someone who has built a half-finished thing that visibly reveals a gap is a categorically better lead than a registration, and a one-to-one review of that thing closes better than any stack ever will.</w:t>
            </w:r>
          </w:p>
        </w:tc>
      </w:tr>
    </w:tbl>
    <w:p>
      <w:pPr>
        <w:pStyle w:val="Heading3"/>
        <w:spacing w:after="100" w:before="280"/>
      </w:pPr>
      <w:r>
        <w:rPr>
          <w:rFonts w:ascii="Arial" w:cs="Arial" w:eastAsia="Arial" w:hAnsi="Arial"/>
          <w:b/>
          <w:bCs/>
          <w:color w:val="14181F"/>
          <w:sz w:val="23"/>
          <w:szCs w:val="23"/>
        </w:rPr>
        <w:t xml:space="preserve">6.8  What to expect, and the one number to instrument</w:t>
      </w:r>
    </w:p>
    <w:tbl>
      <w:tblPr>
        <w:tblW w:type="dxa" w:w="10080"/>
        <w:tblBorders>
          <w:top w:val="single" w:color="D8D5CE" w:sz="4"/>
          <w:left w:val="single" w:color="D8D5CE" w:sz="4"/>
          <w:bottom w:val="single" w:color="D8D5CE" w:sz="4"/>
          <w:right w:val="single" w:color="D8D5CE" w:sz="4"/>
          <w:insideH w:val="single" w:color="D8D5CE" w:sz="4"/>
          <w:insideV w:val="single" w:color="D8D5CE" w:sz="4"/>
        </w:tblBorders>
      </w:tblPr>
      <w:tblGrid>
        <w:gridCol w:w="4480"/>
        <w:gridCol w:w="2240"/>
        <w:gridCol w:w="3360"/>
      </w:tblGrid>
      <w:tr>
        <w:trPr>
          <w:tblHeader/>
        </w:trPr>
        <w:tc>
          <w:tcPr>
            <w:tcW w:type="dxa" w:w="4480"/>
            <w:shd w:fill="F7F5F1" w:color="auto" w:val="clear"/>
            <w:tcMar>
              <w:top w:type="dxa" w:w="100"/>
              <w:left w:type="dxa" w:w="130"/>
              <w:bottom w:type="dxa" w:w="100"/>
              <w:right w:type="dxa" w:w="130"/>
            </w:tcMar>
          </w:tcPr>
          <w:p>
            <w:pPr>
              <w:spacing w:after="0"/>
            </w:pPr>
            <w:r>
              <w:rPr>
                <w:rFonts w:ascii="Arial" w:cs="Arial" w:eastAsia="Arial" w:hAnsi="Arial"/>
                <w:b/>
                <w:bCs/>
                <w:caps/>
                <w:color w:val="6B7280"/>
                <w:spacing w:val="20"/>
                <w:sz w:val="17"/>
                <w:szCs w:val="17"/>
              </w:rPr>
              <w:t xml:space="preserve">Metric</w:t>
            </w:r>
          </w:p>
        </w:tc>
        <w:tc>
          <w:tcPr>
            <w:tcW w:type="dxa" w:w="2240"/>
            <w:shd w:fill="F7F5F1" w:color="auto" w:val="clear"/>
            <w:tcMar>
              <w:top w:type="dxa" w:w="100"/>
              <w:left w:type="dxa" w:w="130"/>
              <w:bottom w:type="dxa" w:w="100"/>
              <w:right w:type="dxa" w:w="130"/>
            </w:tcMar>
          </w:tcPr>
          <w:p>
            <w:pPr>
              <w:spacing w:after="0"/>
            </w:pPr>
            <w:r>
              <w:rPr>
                <w:rFonts w:ascii="Arial" w:cs="Arial" w:eastAsia="Arial" w:hAnsi="Arial"/>
                <w:b/>
                <w:bCs/>
                <w:caps/>
                <w:color w:val="6B7280"/>
                <w:spacing w:val="20"/>
                <w:sz w:val="17"/>
                <w:szCs w:val="17"/>
              </w:rPr>
              <w:t xml:space="preserve">Expect</w:t>
            </w:r>
          </w:p>
        </w:tc>
        <w:tc>
          <w:tcPr>
            <w:tcW w:type="dxa" w:w="3360"/>
            <w:shd w:fill="F7F5F1" w:color="auto" w:val="clear"/>
            <w:tcMar>
              <w:top w:type="dxa" w:w="100"/>
              <w:left w:type="dxa" w:w="130"/>
              <w:bottom w:type="dxa" w:w="100"/>
              <w:right w:type="dxa" w:w="130"/>
            </w:tcMar>
          </w:tcPr>
          <w:p>
            <w:pPr>
              <w:spacing w:after="0"/>
            </w:pPr>
            <w:r>
              <w:rPr>
                <w:rFonts w:ascii="Arial" w:cs="Arial" w:eastAsia="Arial" w:hAnsi="Arial"/>
                <w:b/>
                <w:bCs/>
                <w:caps/>
                <w:color w:val="6B7280"/>
                <w:spacing w:val="20"/>
                <w:sz w:val="17"/>
                <w:szCs w:val="17"/>
              </w:rPr>
              <w:t xml:space="preserve">Note</w:t>
            </w:r>
          </w:p>
        </w:tc>
      </w:tr>
      <w:tr>
        <w:trPr>
          <w:tblHeader w:val="false"/>
        </w:trPr>
        <w:tc>
          <w:tcPr>
            <w:tcW w:type="dxa" w:w="4480"/>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Registrations arriving in the final week</w:t>
            </w:r>
          </w:p>
        </w:tc>
        <w:tc>
          <w:tcPr>
            <w:tcW w:type="dxa" w:w="2240"/>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~50%</w:t>
            </w:r>
          </w:p>
        </w:tc>
        <w:tc>
          <w:tcPr>
            <w:tcW w:type="dxa" w:w="3360"/>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Do not open a six-week runway and panic in week two.</w:t>
            </w:r>
          </w:p>
        </w:tc>
      </w:tr>
      <w:tr>
        <w:trPr>
          <w:tblHeader w:val="false"/>
        </w:trPr>
        <w:tc>
          <w:tcPr>
            <w:tcW w:type="dxa" w:w="4480"/>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Registration to session-one attendance</w:t>
            </w:r>
          </w:p>
        </w:tc>
        <w:tc>
          <w:tcPr>
            <w:tcW w:type="dxa" w:w="2240"/>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~48%</w:t>
            </w:r>
          </w:p>
        </w:tc>
        <w:tc>
          <w:tcPr>
            <w:tcW w:type="dxa" w:w="3360"/>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Declining year over year. Do not build the economics on registration counts.</w:t>
            </w:r>
          </w:p>
        </w:tc>
      </w:tr>
      <w:tr>
        <w:trPr>
          <w:tblHeader w:val="false"/>
        </w:trPr>
        <w:tc>
          <w:tcPr>
            <w:tcW w:type="dxa" w:w="4480"/>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Cohort completion vs self-paced</w:t>
            </w:r>
          </w:p>
        </w:tc>
        <w:tc>
          <w:tcPr>
            <w:tcW w:type="dxa" w:w="2240"/>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53% vs 42%</w:t>
            </w:r>
          </w:p>
        </w:tc>
        <w:tc>
          <w:tcPr>
            <w:tcW w:type="dxa" w:w="3360"/>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Within one platform across 1.3M enrolments. Real, and nothing like the 90%-plus figures the industry quotes.</w:t>
            </w:r>
          </w:p>
        </w:tc>
      </w:tr>
      <w:tr>
        <w:trPr>
          <w:tblHeader w:val="false"/>
        </w:trPr>
        <w:tc>
          <w:tcPr>
            <w:tcW w:type="dxa" w:w="4480"/>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Completed something in week one → finished</w:t>
            </w:r>
          </w:p>
        </w:tc>
        <w:tc>
          <w:tcPr>
            <w:tcW w:type="dxa" w:w="2240"/>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78%</w:t>
            </w:r>
          </w:p>
        </w:tc>
        <w:tc>
          <w:tcPr>
            <w:tcW w:type="dxa" w:w="3360"/>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Against 17% for those who did not. This is the whole game.</w:t>
            </w:r>
          </w:p>
        </w:tc>
      </w:tr>
    </w:tbl>
    <w:p>
      <w:pPr>
        <w:spacing w:after="120"/>
      </w:pPr>
      <w:r>
        <w:rPr>
          <w:rFonts w:ascii="Arial" w:cs="Arial" w:eastAsia="Arial" w:hAnsi="Arial"/>
          <w:sz w:val="16"/>
          <w:szCs w:val="16"/>
        </w:rPr>
        <w:t xml:space="preserve"/>
      </w:r>
    </w:p>
    <w:tbl>
      <w:tblPr>
        <w:tblW w:type="dxa" w:w="10080"/>
        <w:tblBorders>
          <w:top w:val="none"/>
          <w:left w:val="single" w:color="A8462F" w:sz="18"/>
          <w:bottom w:val="none"/>
          <w:right w:val="none"/>
          <w:insideH w:val="none"/>
          <w:insideV w:val="none"/>
        </w:tblBorders>
      </w:tblPr>
      <w:tblGrid>
        <w:gridCol w:w="10080"/>
      </w:tblGrid>
      <w:tr>
        <w:tc>
          <w:tcPr>
            <w:tcW w:type="dxa" w:w="10080"/>
            <w:shd w:fill="FAF1EE" w:color="auto" w:val="clear"/>
            <w:tcMar>
              <w:top w:type="dxa" w:w="140"/>
              <w:left w:type="dxa" w:w="180"/>
              <w:bottom w:type="dxa" w:w="140"/>
              <w:right w:type="dxa" w:w="160"/>
            </w:tcMar>
          </w:tcPr>
          <w:p>
            <w:pPr>
              <w:spacing w:after="0" w:before="0" w:line="276"/>
            </w:pPr>
            <w:r>
              <w:rPr>
                <w:rFonts w:ascii="Arial" w:cs="Arial" w:eastAsia="Arial" w:hAnsi="Arial"/>
                <w:color w:val="14181F"/>
                <w:sz w:val="19"/>
                <w:szCs w:val="19"/>
              </w:rPr>
              <w:t xml:space="preserve">Instrument one number before you instrument anything else: the percentage of session-one attendees who submit the week-one artifact. Everything downstream is a function of it, and it is the only metric here that we will be able to state honestly from our own data rather than borrowing someone else's.</w:t>
            </w:r>
          </w:p>
        </w:tc>
      </w:tr>
    </w:tbl>
    <w:p>
      <w:pPr>
        <w:spacing w:after="120"/>
      </w:pPr>
      <w:r>
        <w:rPr>
          <w:rFonts w:ascii="Arial" w:cs="Arial" w:eastAsia="Arial" w:hAnsi="Arial"/>
          <w:sz w:val="16"/>
          <w:szCs w:val="16"/>
        </w:rPr>
        <w:t xml:space="preserve"/>
      </w:r>
    </w:p>
    <w:p>
      <w:pPr>
        <w:spacing w:after="120" w:before="0" w:line="276"/>
      </w:pPr>
      <w:r>
        <w:rPr>
          <w:rFonts w:ascii="Arial" w:cs="Arial" w:eastAsia="Arial" w:hAnsi="Arial"/>
          <w:color w:val="14181F"/>
          <w:sz w:val="20"/>
          <w:szCs w:val="20"/>
        </w:rPr>
        <w:t xml:space="preserve">Two things worth saying out loud internally. First, no credible data exists comparing challenge to webinar conversion; the one operator before-and-after that circulates is confounded by year, price, offer and traffic all changing at once. If we want that number we will have to generate it. Second, our differentiators here are structural and citable: weekly spacing near the measured optimum, whole-artifact generation instead of template completion, a manager loop that doubles the strongest transfer predictor in the literature, and gated unlocking taken from the one competitor mechanic that holds up. That is a materially better programme, and it defends itself in front of a sceptical buyer in a way that five days and a stack does not.</w:t>
      </w:r>
    </w:p>
    <w:p>
      <w:r>
        <w:br w:type="page"/>
      </w:r>
    </w:p>
    <w:p>
      <w:pPr>
        <w:pStyle w:val="Heading2"/>
        <w:pBdr>
          <w:bottom w:val="single" w:color="B8801F" w:sz="6" w:space="8"/>
        </w:pBdr>
        <w:spacing w:after="140" w:before="400"/>
      </w:pPr>
      <w:r>
        <w:rPr>
          <w:rFonts w:ascii="Arial" w:cs="Arial" w:eastAsia="Arial" w:hAnsi="Arial"/>
          <w:b/>
          <w:bCs/>
          <w:color w:val="B8801F"/>
          <w:sz w:val="20"/>
          <w:szCs w:val="20"/>
        </w:rPr>
        <w:t xml:space="preserve">Appendix  </w:t>
      </w:r>
      <w:r>
        <w:rPr>
          <w:rFonts w:ascii="Arial" w:cs="Arial" w:eastAsia="Arial" w:hAnsi="Arial"/>
          <w:b/>
          <w:bCs/>
          <w:color w:val="14181F"/>
          <w:sz w:val="28"/>
          <w:szCs w:val="28"/>
        </w:rPr>
        <w:t xml:space="preserve">Scaling gates</w:t>
      </w:r>
    </w:p>
    <w:p>
      <w:pPr>
        <w:spacing w:after="200" w:before="0" w:line="276"/>
      </w:pPr>
      <w:r>
        <w:rPr>
          <w:rFonts w:ascii="Arial" w:cs="Arial" w:eastAsia="Arial" w:hAnsi="Arial"/>
          <w:color w:val="6B7280"/>
          <w:sz w:val="20"/>
          <w:szCs w:val="20"/>
        </w:rPr>
        <w:t xml:space="preserve">Two numbers decide whether a working session becomes a funded programme. Both live in the accompanying spreadsheet model and both are checked after three runs, not one.</w:t>
      </w:r>
    </w:p>
    <w:tbl>
      <w:tblPr>
        <w:tblW w:type="dxa" w:w="10080"/>
        <w:tblBorders>
          <w:top w:val="single" w:color="D8D5CE" w:sz="4"/>
          <w:left w:val="single" w:color="D8D5CE" w:sz="4"/>
          <w:bottom w:val="single" w:color="D8D5CE" w:sz="4"/>
          <w:right w:val="single" w:color="D8D5CE" w:sz="4"/>
          <w:insideH w:val="single" w:color="D8D5CE" w:sz="4"/>
          <w:insideV w:val="single" w:color="D8D5CE" w:sz="4"/>
        </w:tblBorders>
      </w:tblPr>
      <w:tblGrid>
        <w:gridCol w:w="3360"/>
        <w:gridCol w:w="2240"/>
        <w:gridCol w:w="4480"/>
      </w:tblGrid>
      <w:tr>
        <w:trPr>
          <w:tblHeader/>
        </w:trPr>
        <w:tc>
          <w:tcPr>
            <w:tcW w:type="dxa" w:w="3360"/>
            <w:shd w:fill="F7F5F1" w:color="auto" w:val="clear"/>
            <w:tcMar>
              <w:top w:type="dxa" w:w="100"/>
              <w:left w:type="dxa" w:w="130"/>
              <w:bottom w:type="dxa" w:w="100"/>
              <w:right w:type="dxa" w:w="130"/>
            </w:tcMar>
          </w:tcPr>
          <w:p>
            <w:pPr>
              <w:spacing w:after="0"/>
            </w:pPr>
            <w:r>
              <w:rPr>
                <w:rFonts w:ascii="Arial" w:cs="Arial" w:eastAsia="Arial" w:hAnsi="Arial"/>
                <w:b/>
                <w:bCs/>
                <w:caps/>
                <w:color w:val="6B7280"/>
                <w:spacing w:val="20"/>
                <w:sz w:val="17"/>
                <w:szCs w:val="17"/>
              </w:rPr>
              <w:t xml:space="preserve">Gate</w:t>
            </w:r>
          </w:p>
        </w:tc>
        <w:tc>
          <w:tcPr>
            <w:tcW w:type="dxa" w:w="2240"/>
            <w:shd w:fill="F7F5F1" w:color="auto" w:val="clear"/>
            <w:tcMar>
              <w:top w:type="dxa" w:w="100"/>
              <w:left w:type="dxa" w:w="130"/>
              <w:bottom w:type="dxa" w:w="100"/>
              <w:right w:type="dxa" w:w="130"/>
            </w:tcMar>
          </w:tcPr>
          <w:p>
            <w:pPr>
              <w:spacing w:after="0"/>
            </w:pPr>
            <w:r>
              <w:rPr>
                <w:rFonts w:ascii="Arial" w:cs="Arial" w:eastAsia="Arial" w:hAnsi="Arial"/>
                <w:b/>
                <w:bCs/>
                <w:caps/>
                <w:color w:val="6B7280"/>
                <w:spacing w:val="20"/>
                <w:sz w:val="17"/>
                <w:szCs w:val="17"/>
              </w:rPr>
              <w:t xml:space="preserve">Threshold</w:t>
            </w:r>
          </w:p>
        </w:tc>
        <w:tc>
          <w:tcPr>
            <w:tcW w:type="dxa" w:w="4480"/>
            <w:shd w:fill="F7F5F1" w:color="auto" w:val="clear"/>
            <w:tcMar>
              <w:top w:type="dxa" w:w="100"/>
              <w:left w:type="dxa" w:w="130"/>
              <w:bottom w:type="dxa" w:w="100"/>
              <w:right w:type="dxa" w:w="130"/>
            </w:tcMar>
          </w:tcPr>
          <w:p>
            <w:pPr>
              <w:spacing w:after="0"/>
            </w:pPr>
            <w:r>
              <w:rPr>
                <w:rFonts w:ascii="Arial" w:cs="Arial" w:eastAsia="Arial" w:hAnsi="Arial"/>
                <w:b/>
                <w:bCs/>
                <w:caps/>
                <w:color w:val="6B7280"/>
                <w:spacing w:val="20"/>
                <w:sz w:val="17"/>
                <w:szCs w:val="17"/>
              </w:rPr>
              <w:t xml:space="preserve">Meaning</w:t>
            </w:r>
          </w:p>
        </w:tc>
      </w:tr>
      <w:tr>
        <w:trPr>
          <w:tblHeader w:val="false"/>
        </w:trPr>
        <w:tc>
          <w:tcPr>
            <w:tcW w:type="dxa" w:w="3360"/>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Lifetime gross profit to acquisition cost</w:t>
            </w:r>
          </w:p>
        </w:tc>
        <w:tc>
          <w:tcPr>
            <w:tcW w:type="dxa" w:w="2240"/>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3:1 minimum</w:t>
            </w:r>
          </w:p>
        </w:tc>
        <w:tc>
          <w:tcPr>
            <w:tcW w:type="dxa" w:w="4480"/>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Below this, do not scale spend. If our cost per acquisition is above the category norm, the advertising is the problem. If it is below and we still cannot scale, the business model is the problem and the fix is raising lifetime gross profit.</w:t>
            </w:r>
          </w:p>
        </w:tc>
      </w:tr>
      <w:tr>
        <w:trPr>
          <w:tblHeader w:val="false"/>
        </w:trPr>
        <w:tc>
          <w:tcPr>
            <w:tcW w:type="dxa" w:w="3360"/>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Payback period</w:t>
            </w:r>
          </w:p>
        </w:tc>
        <w:tc>
          <w:tcPr>
            <w:tcW w:type="dxa" w:w="2240"/>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Within 30 days</w:t>
            </w:r>
          </w:p>
        </w:tc>
        <w:tc>
          <w:tcPr>
            <w:tcW w:type="dxa" w:w="4480"/>
            <w:tcMar>
              <w:top w:type="dxa" w:w="100"/>
              <w:left w:type="dxa" w:w="130"/>
              <w:bottom w:type="dxa" w:w="100"/>
              <w:right w:type="dxa" w:w="130"/>
            </w:tcMar>
          </w:tcPr>
          <w:p>
            <w:pPr>
              <w:spacing w:after="0" w:before="0" w:line="276"/>
            </w:pPr>
            <w:r>
              <w:rPr>
                <w:rFonts w:ascii="Arial" w:cs="Arial" w:eastAsia="Arial" w:hAnsi="Arial"/>
                <w:color w:val="14181F"/>
                <w:sz w:val="19"/>
                <w:szCs w:val="19"/>
              </w:rPr>
              <w:t xml:space="preserve">Recovering acquisition cost plus delivery cost inside a month means cash recycles into the next cohort indefinitely. Past 90 days, growth is funded from the balance sheet.</w:t>
            </w:r>
          </w:p>
        </w:tc>
      </w:tr>
    </w:tbl>
    <w:p>
      <w:pPr>
        <w:spacing w:after="120"/>
      </w:pPr>
      <w:r>
        <w:rPr>
          <w:rFonts w:ascii="Arial" w:cs="Arial" w:eastAsia="Arial" w:hAnsi="Arial"/>
          <w:sz w:val="16"/>
          <w:szCs w:val="16"/>
        </w:rPr>
        <w:t xml:space="preserve"/>
      </w:r>
    </w:p>
    <w:p>
      <w:pPr>
        <w:spacing w:after="120" w:before="0" w:line="276"/>
      </w:pPr>
      <w:r>
        <w:rPr>
          <w:rFonts w:ascii="Arial" w:cs="Arial" w:eastAsia="Arial" w:hAnsi="Arial"/>
          <w:color w:val="14181F"/>
          <w:sz w:val="20"/>
          <w:szCs w:val="20"/>
        </w:rPr>
        <w:t xml:space="preserve">Two diagnostics worth keeping in the room when the numbers disappoint. If the session fills and nobody buys, the offer is wrong, not the ads. If nobody registers, the hook is wrong. If they register, attend, and never respond afterwards, the follow-up does not exist yet, which is the most common of the three and the cheapest to fix.</w:t>
      </w:r>
    </w:p>
    <w:sectPr>
      <w:footerReference w:type="default" r:id="rId7"/>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right"/>
    </w:pPr>
    <w:r>
      <w:rPr>
        <w:rFonts w:ascii="Arial" w:cs="Arial" w:eastAsia="Arial" w:hAnsi="Arial"/>
        <w:color w:val="6B7280"/>
        <w:sz w:val="16"/>
        <w:szCs w:val="16"/>
      </w:rPr>
      <w:t xml:space="preserve">Innovative Group · Internal · </w:t>
    </w:r>
    <w:r>
      <w:rPr>
        <w:rFonts w:ascii="Arial" w:cs="Arial" w:eastAsia="Arial" w:hAnsi="Arial"/>
        <w:color w:val="6B7280"/>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24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14181F"/>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Demand Engine — Working Templates</dc:title>
  <dc:creator>Innovative Group</dc:creator>
  <cp:lastModifiedBy>Un-named</cp:lastModifiedBy>
  <cp:revision>1</cp:revision>
  <dcterms:created xsi:type="dcterms:W3CDTF">2026-09-06T19:59:05.944Z</dcterms:created>
  <dcterms:modified xsi:type="dcterms:W3CDTF">2026-09-06T19:59:05.958Z</dcterms:modified>
</cp:coreProperties>
</file>

<file path=docProps/custom.xml><?xml version="1.0" encoding="utf-8"?>
<Properties xmlns="http://schemas.openxmlformats.org/officeDocument/2006/custom-properties" xmlns:vt="http://schemas.openxmlformats.org/officeDocument/2006/docPropsVTypes"/>
</file>